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
    </w:p>
    <w:p>
      <w:pPr>
        <w:pStyle w:val="Normal"/>
        <w:jc w:val="center"/>
        <w:rPr/>
      </w:pPr>
      <w:r>
        <w:rPr>
          <w:b/>
          <w:sz w:val="26"/>
          <w:szCs w:val="26"/>
        </w:rPr>
        <w:t xml:space="preserve">DOKUMENTACE </w:t>
      </w:r>
      <w:r>
        <w:rPr>
          <w:rFonts w:cs="Arial"/>
          <w:b/>
          <w:sz w:val="26"/>
          <w:szCs w:val="26"/>
        </w:rPr>
        <w:t>PRO PROVEDENÍ STAVBY</w:t>
      </w:r>
    </w:p>
    <w:p>
      <w:pPr>
        <w:pStyle w:val="Normal"/>
        <w:spacing w:before="120" w:after="0"/>
        <w:jc w:val="center"/>
        <w:rPr>
          <w:rFonts w:eastAsia="Arial"/>
          <w:bCs/>
          <w:sz w:val="20"/>
          <w:szCs w:val="16"/>
        </w:rPr>
      </w:pPr>
      <w:r>
        <w:rPr>
          <w:rFonts w:eastAsia="Arial"/>
          <w:bCs/>
          <w:sz w:val="20"/>
          <w:szCs w:val="16"/>
        </w:rPr>
        <w:t xml:space="preserve">  </w:t>
      </w:r>
      <w:r>
        <w:rPr>
          <w:rFonts w:eastAsia="Arial"/>
          <w:bCs/>
          <w:sz w:val="20"/>
          <w:szCs w:val="16"/>
        </w:rPr>
        <w:t>(ve smyslu přílohy č. 5 novelizace vyhlášky č. 499/2006 Sb. v platném znění z 1.1. 2018, § 110 odst. 2 písm. b) stavebního zákona)</w:t>
      </w:r>
    </w:p>
    <w:p>
      <w:pPr>
        <w:pStyle w:val="Normal"/>
        <w:jc w:val="center"/>
        <w:rPr>
          <w:b/>
          <w:b/>
          <w:bCs/>
          <w:sz w:val="16"/>
          <w:szCs w:val="16"/>
        </w:rPr>
      </w:pPr>
      <w:r>
        <w:rPr>
          <w:b/>
          <w:bCs/>
          <w:sz w:val="16"/>
          <w:szCs w:val="16"/>
        </w:rPr>
      </w:r>
    </w:p>
    <w:tbl>
      <w:tblPr>
        <w:tblW w:w="10200" w:type="dxa"/>
        <w:jc w:val="left"/>
        <w:tblInd w:w="-108" w:type="dxa"/>
        <w:tblLayout w:type="fixed"/>
        <w:tblCellMar>
          <w:top w:w="0" w:type="dxa"/>
          <w:left w:w="108" w:type="dxa"/>
          <w:bottom w:w="0" w:type="dxa"/>
          <w:right w:w="108" w:type="dxa"/>
        </w:tblCellMar>
      </w:tblPr>
      <w:tblGrid>
        <w:gridCol w:w="2100"/>
        <w:gridCol w:w="8100"/>
      </w:tblGrid>
      <w:tr>
        <w:trPr/>
        <w:tc>
          <w:tcPr>
            <w:tcW w:w="2100" w:type="dxa"/>
            <w:tcBorders/>
          </w:tcPr>
          <w:p>
            <w:pPr>
              <w:pStyle w:val="Normal"/>
              <w:widowControl w:val="false"/>
              <w:rPr>
                <w:b/>
                <w:b/>
                <w:sz w:val="26"/>
                <w:szCs w:val="26"/>
              </w:rPr>
            </w:pPr>
            <w:r>
              <w:rPr>
                <w:b/>
                <w:sz w:val="26"/>
                <w:szCs w:val="26"/>
              </w:rPr>
              <w:t>D</w:t>
            </w:r>
          </w:p>
        </w:tc>
        <w:tc>
          <w:tcPr>
            <w:tcW w:w="8100" w:type="dxa"/>
            <w:tcBorders/>
          </w:tcPr>
          <w:p>
            <w:pPr>
              <w:pStyle w:val="Normal"/>
              <w:widowControl w:val="false"/>
              <w:rPr>
                <w:b/>
                <w:b/>
                <w:sz w:val="26"/>
                <w:szCs w:val="26"/>
              </w:rPr>
            </w:pPr>
            <w:r>
              <w:rPr>
                <w:b/>
                <w:sz w:val="26"/>
                <w:szCs w:val="26"/>
              </w:rPr>
              <w:t>Dokumentace objektů a technických a technologických zařízení</w:t>
            </w:r>
          </w:p>
        </w:tc>
      </w:tr>
      <w:tr>
        <w:trPr/>
        <w:tc>
          <w:tcPr>
            <w:tcW w:w="2100" w:type="dxa"/>
            <w:tcBorders/>
          </w:tcPr>
          <w:p>
            <w:pPr>
              <w:pStyle w:val="Normal"/>
              <w:widowControl w:val="false"/>
              <w:rPr>
                <w:b/>
                <w:b/>
                <w:sz w:val="26"/>
                <w:szCs w:val="26"/>
              </w:rPr>
            </w:pPr>
            <w:r>
              <w:rPr>
                <w:b/>
                <w:sz w:val="26"/>
                <w:szCs w:val="26"/>
              </w:rPr>
              <w:t>D.1</w:t>
            </w:r>
          </w:p>
        </w:tc>
        <w:tc>
          <w:tcPr>
            <w:tcW w:w="8100" w:type="dxa"/>
            <w:tcBorders/>
          </w:tcPr>
          <w:p>
            <w:pPr>
              <w:pStyle w:val="Normal"/>
              <w:widowControl w:val="false"/>
              <w:rPr>
                <w:b/>
                <w:b/>
                <w:sz w:val="26"/>
                <w:szCs w:val="26"/>
              </w:rPr>
            </w:pPr>
            <w:r>
              <w:rPr>
                <w:b/>
                <w:sz w:val="26"/>
                <w:szCs w:val="26"/>
              </w:rPr>
              <w:t>Dokumentace stavebního nebo inženýrského objektu</w:t>
            </w:r>
          </w:p>
        </w:tc>
      </w:tr>
      <w:tr>
        <w:trPr/>
        <w:tc>
          <w:tcPr>
            <w:tcW w:w="2100" w:type="dxa"/>
            <w:tcBorders/>
          </w:tcPr>
          <w:p>
            <w:pPr>
              <w:pStyle w:val="Normal"/>
              <w:widowControl w:val="false"/>
              <w:rPr>
                <w:b/>
                <w:b/>
                <w:sz w:val="26"/>
                <w:szCs w:val="26"/>
              </w:rPr>
            </w:pPr>
            <w:r>
              <w:rPr>
                <w:b/>
                <w:sz w:val="26"/>
                <w:szCs w:val="26"/>
              </w:rPr>
              <w:t>D.1.4</w:t>
            </w:r>
          </w:p>
        </w:tc>
        <w:tc>
          <w:tcPr>
            <w:tcW w:w="8100" w:type="dxa"/>
            <w:tcBorders/>
          </w:tcPr>
          <w:p>
            <w:pPr>
              <w:pStyle w:val="Normal"/>
              <w:widowControl w:val="false"/>
              <w:rPr>
                <w:b/>
                <w:b/>
                <w:sz w:val="26"/>
                <w:szCs w:val="26"/>
              </w:rPr>
            </w:pPr>
            <w:r>
              <w:rPr>
                <w:b/>
                <w:sz w:val="26"/>
                <w:szCs w:val="26"/>
              </w:rPr>
              <w:t>Technika prostředí staveb</w:t>
            </w:r>
          </w:p>
        </w:tc>
      </w:tr>
      <w:tr>
        <w:trPr/>
        <w:tc>
          <w:tcPr>
            <w:tcW w:w="2100" w:type="dxa"/>
            <w:tcBorders/>
          </w:tcPr>
          <w:p>
            <w:pPr>
              <w:pStyle w:val="Normal"/>
              <w:widowControl w:val="false"/>
              <w:rPr>
                <w:b/>
                <w:b/>
                <w:sz w:val="26"/>
                <w:szCs w:val="26"/>
              </w:rPr>
            </w:pPr>
            <w:r>
              <w:rPr>
                <w:b/>
                <w:sz w:val="26"/>
                <w:szCs w:val="26"/>
              </w:rPr>
              <w:t>D.1.4.6</w:t>
            </w:r>
          </w:p>
        </w:tc>
        <w:tc>
          <w:tcPr>
            <w:tcW w:w="8100" w:type="dxa"/>
            <w:tcBorders/>
          </w:tcPr>
          <w:p>
            <w:pPr>
              <w:pStyle w:val="Normal"/>
              <w:widowControl w:val="false"/>
              <w:rPr>
                <w:b/>
                <w:b/>
                <w:sz w:val="26"/>
                <w:szCs w:val="26"/>
              </w:rPr>
            </w:pPr>
            <w:r>
              <w:rPr>
                <w:b/>
                <w:sz w:val="26"/>
                <w:szCs w:val="26"/>
              </w:rPr>
              <w:t>Měření a regulace</w:t>
            </w:r>
          </w:p>
        </w:tc>
      </w:tr>
      <w:tr>
        <w:trPr/>
        <w:tc>
          <w:tcPr>
            <w:tcW w:w="2100" w:type="dxa"/>
            <w:tcBorders/>
          </w:tcPr>
          <w:p>
            <w:pPr>
              <w:pStyle w:val="Normal"/>
              <w:widowControl w:val="false"/>
              <w:tabs>
                <w:tab w:val="clear" w:pos="708"/>
                <w:tab w:val="left" w:pos="2040" w:leader="none"/>
              </w:tabs>
              <w:rPr>
                <w:b/>
                <w:b/>
                <w:sz w:val="26"/>
                <w:szCs w:val="26"/>
              </w:rPr>
            </w:pPr>
            <w:r>
              <w:rPr>
                <w:b/>
                <w:sz w:val="26"/>
                <w:szCs w:val="26"/>
              </w:rPr>
              <w:t>D.1.4.6 MaR-01</w:t>
            </w:r>
          </w:p>
        </w:tc>
        <w:tc>
          <w:tcPr>
            <w:tcW w:w="8100" w:type="dxa"/>
            <w:tcBorders/>
          </w:tcPr>
          <w:p>
            <w:pPr>
              <w:pStyle w:val="Normal"/>
              <w:widowControl w:val="false"/>
              <w:rPr>
                <w:b/>
                <w:b/>
                <w:sz w:val="26"/>
                <w:szCs w:val="26"/>
                <w:u w:val="single"/>
              </w:rPr>
            </w:pPr>
            <w:r>
              <w:rPr>
                <w:b/>
                <w:sz w:val="26"/>
                <w:szCs w:val="26"/>
                <w:u w:val="single"/>
              </w:rPr>
              <w:t>Technická zpráva</w:t>
            </w:r>
          </w:p>
        </w:tc>
      </w:tr>
    </w:tbl>
    <w:p>
      <w:pPr>
        <w:pStyle w:val="Normal"/>
        <w:jc w:val="both"/>
        <w:rPr>
          <w:b/>
          <w:b/>
        </w:rPr>
      </w:pPr>
      <w:r>
        <w:rPr>
          <w:b/>
        </w:rPr>
      </w:r>
    </w:p>
    <w:p>
      <w:pPr>
        <w:pStyle w:val="Normal"/>
        <w:spacing w:before="0" w:after="113"/>
        <w:jc w:val="both"/>
        <w:rPr>
          <w:b/>
          <w:b/>
          <w:sz w:val="24"/>
        </w:rPr>
      </w:pPr>
      <w:r>
        <w:rPr>
          <w:b/>
          <w:sz w:val="24"/>
        </w:rPr>
        <w:t>Obsah:</w:t>
      </w:r>
    </w:p>
    <w:sdt>
      <w:sdtPr>
        <w:docPartObj>
          <w:docPartGallery w:val="Table of Contents"/>
          <w:docPartUnique w:val="true"/>
        </w:docPartObj>
      </w:sdtPr>
      <w:sdtContent>
        <w:p>
          <w:pPr>
            <w:pStyle w:val="Obsah1"/>
            <w:widowControl/>
            <w:bidi w:val="0"/>
            <w:spacing w:before="0" w:after="0"/>
            <w:jc w:val="both"/>
            <w:rPr>
              <w:rFonts w:ascii="Times New Roman" w:hAnsi="Times New Roman" w:eastAsia="Times New Roman"/>
              <w:sz w:val="24"/>
              <w:szCs w:val="24"/>
            </w:rPr>
          </w:pPr>
          <w:r>
            <w:fldChar w:fldCharType="begin"/>
          </w:r>
          <w:r>
            <w:rPr>
              <w:sz w:val="24"/>
              <w:szCs w:val="24"/>
              <w:rFonts w:eastAsia="Times New Roman" w:ascii="Times New Roman" w:hAnsi="Times New Roman"/>
            </w:rPr>
            <w:instrText> TOC \o "1-3" \h</w:instrText>
          </w:r>
          <w:r>
            <w:rPr>
              <w:sz w:val="24"/>
              <w:szCs w:val="24"/>
              <w:rFonts w:eastAsia="Times New Roman" w:ascii="Times New Roman" w:hAnsi="Times New Roman"/>
            </w:rPr>
            <w:fldChar w:fldCharType="separate"/>
          </w:r>
          <w:r>
            <w:rPr>
              <w:rFonts w:eastAsia="Times New Roman" w:ascii="Times New Roman" w:hAnsi="Times New Roman"/>
              <w:sz w:val="24"/>
              <w:szCs w:val="24"/>
            </w:rPr>
            <w:t>1.  Základní identifikační údaje</w:t>
            <w:tab/>
            <w:t>1</w:t>
          </w:r>
        </w:p>
        <w:p>
          <w:pPr>
            <w:pStyle w:val="Obsah1"/>
            <w:widowControl/>
            <w:bidi w:val="0"/>
            <w:spacing w:before="0" w:after="0"/>
            <w:jc w:val="both"/>
            <w:rPr>
              <w:rFonts w:ascii="Times New Roman" w:hAnsi="Times New Roman" w:eastAsia="Times New Roman"/>
              <w:sz w:val="24"/>
              <w:szCs w:val="24"/>
            </w:rPr>
          </w:pPr>
          <w:r>
            <w:rPr>
              <w:rFonts w:eastAsia="Times New Roman" w:ascii="Times New Roman" w:hAnsi="Times New Roman"/>
              <w:sz w:val="24"/>
              <w:szCs w:val="24"/>
            </w:rPr>
            <w:t>2.  výpis použitých norem - normových hodnot a předpisů</w:t>
            <w:tab/>
            <w:t>2</w:t>
          </w:r>
        </w:p>
        <w:p>
          <w:pPr>
            <w:pStyle w:val="Obsah1"/>
            <w:widowControl/>
            <w:bidi w:val="0"/>
            <w:spacing w:before="0" w:after="0"/>
            <w:jc w:val="both"/>
            <w:rPr>
              <w:rFonts w:ascii="Times New Roman" w:hAnsi="Times New Roman" w:eastAsia="Times New Roman"/>
              <w:sz w:val="24"/>
              <w:szCs w:val="24"/>
            </w:rPr>
          </w:pPr>
          <w:r>
            <w:rPr>
              <w:rFonts w:eastAsia="Times New Roman" w:ascii="Times New Roman" w:hAnsi="Times New Roman"/>
              <w:sz w:val="24"/>
              <w:szCs w:val="24"/>
            </w:rPr>
            <w:t>3.  výchozí podklady a stavební program</w:t>
            <w:tab/>
            <w:t>2</w:t>
          </w:r>
        </w:p>
        <w:p>
          <w:pPr>
            <w:pStyle w:val="Obsah1"/>
            <w:widowControl/>
            <w:bidi w:val="0"/>
            <w:spacing w:before="0" w:after="0"/>
            <w:jc w:val="both"/>
            <w:rPr>
              <w:rFonts w:ascii="Times New Roman" w:hAnsi="Times New Roman" w:eastAsia="Times New Roman"/>
              <w:sz w:val="24"/>
              <w:szCs w:val="24"/>
            </w:rPr>
          </w:pPr>
          <w:r>
            <w:rPr>
              <w:rFonts w:eastAsia="Times New Roman" w:ascii="Times New Roman" w:hAnsi="Times New Roman"/>
              <w:sz w:val="24"/>
              <w:szCs w:val="24"/>
            </w:rPr>
            <w:t>4. požadavky na profesi - zadání, klimatické podmínky místa stavby - výpočtové parametry</w:t>
            <w:tab/>
            <w:t>3</w:t>
          </w:r>
        </w:p>
        <w:p>
          <w:pPr>
            <w:pStyle w:val="Obsah1"/>
            <w:widowControl/>
            <w:bidi w:val="0"/>
            <w:spacing w:before="0" w:after="0"/>
            <w:jc w:val="both"/>
            <w:rPr>
              <w:rFonts w:ascii="Times New Roman" w:hAnsi="Times New Roman" w:eastAsia="Times New Roman"/>
              <w:sz w:val="24"/>
              <w:szCs w:val="24"/>
            </w:rPr>
          </w:pPr>
          <w:r>
            <w:rPr>
              <w:rFonts w:eastAsia="Times New Roman" w:ascii="Times New Roman" w:hAnsi="Times New Roman"/>
              <w:sz w:val="24"/>
              <w:szCs w:val="24"/>
            </w:rPr>
            <w:t>5.  podmínky připojení na místní technickou infrastrukturu</w:t>
            <w:tab/>
            <w:t>5</w:t>
          </w:r>
        </w:p>
        <w:p>
          <w:pPr>
            <w:pStyle w:val="Obsah1"/>
            <w:widowControl/>
            <w:bidi w:val="0"/>
            <w:spacing w:before="0" w:after="0"/>
            <w:jc w:val="both"/>
            <w:rPr>
              <w:rFonts w:ascii="Times New Roman" w:hAnsi="Times New Roman" w:eastAsia="Times New Roman"/>
              <w:sz w:val="24"/>
              <w:szCs w:val="24"/>
            </w:rPr>
          </w:pPr>
          <w:r>
            <w:rPr>
              <w:rFonts w:eastAsia="Times New Roman" w:ascii="Times New Roman" w:hAnsi="Times New Roman"/>
              <w:sz w:val="24"/>
              <w:szCs w:val="24"/>
            </w:rPr>
            <w:t>6.  údaje o škodlivinách se stanovením emisí a jejich koncentrace</w:t>
            <w:tab/>
            <w:t>5</w:t>
          </w:r>
        </w:p>
        <w:p>
          <w:pPr>
            <w:pStyle w:val="Obsah1"/>
            <w:rPr>
              <w:rFonts w:ascii="Times New Roman" w:hAnsi="Times New Roman" w:eastAsia="Times New Roman"/>
              <w:sz w:val="24"/>
              <w:szCs w:val="24"/>
            </w:rPr>
          </w:pPr>
          <w:r>
            <w:rPr>
              <w:rFonts w:eastAsia="Times New Roman" w:ascii="Times New Roman" w:hAnsi="Times New Roman"/>
              <w:sz w:val="24"/>
              <w:szCs w:val="24"/>
            </w:rPr>
            <w:t>7.  provozní podmínky - počet osob, tepelné ztráty, tepelné zátěže apod., provozní režim                   -trvalý, občasný, nepřerušovaný</w:t>
            <w:tab/>
            <w:t>5</w:t>
          </w:r>
        </w:p>
        <w:p>
          <w:pPr>
            <w:pStyle w:val="Obsah1"/>
            <w:widowControl/>
            <w:bidi w:val="0"/>
            <w:spacing w:before="0" w:after="0"/>
            <w:jc w:val="both"/>
            <w:rPr>
              <w:rFonts w:ascii="Times New Roman" w:hAnsi="Times New Roman" w:eastAsia="Times New Roman"/>
              <w:sz w:val="24"/>
              <w:szCs w:val="24"/>
            </w:rPr>
          </w:pPr>
          <w:r>
            <w:rPr>
              <w:rFonts w:eastAsia="Times New Roman" w:ascii="Times New Roman" w:hAnsi="Times New Roman"/>
              <w:sz w:val="24"/>
              <w:szCs w:val="24"/>
            </w:rPr>
            <w:t>8.  popis navrženého řešení a dimenzování, popis funkce, uspořádání a instalace systému</w:t>
            <w:tab/>
            <w:t>6</w:t>
          </w:r>
        </w:p>
        <w:p>
          <w:pPr>
            <w:pStyle w:val="Obsah1"/>
            <w:widowControl/>
            <w:bidi w:val="0"/>
            <w:spacing w:before="0" w:after="0"/>
            <w:jc w:val="both"/>
            <w:rPr>
              <w:rFonts w:ascii="Times New Roman" w:hAnsi="Times New Roman" w:eastAsia="Times New Roman"/>
              <w:sz w:val="24"/>
              <w:szCs w:val="24"/>
            </w:rPr>
          </w:pPr>
          <w:r>
            <w:rPr>
              <w:rFonts w:eastAsia="Times New Roman" w:ascii="Times New Roman" w:hAnsi="Times New Roman"/>
              <w:sz w:val="24"/>
              <w:szCs w:val="24"/>
            </w:rPr>
            <w:t>9.  bilance energií, médií a potřebných hmot</w:t>
            <w:tab/>
            <w:t>9</w:t>
          </w:r>
        </w:p>
        <w:p>
          <w:pPr>
            <w:pStyle w:val="Obsah1"/>
            <w:widowControl/>
            <w:bidi w:val="0"/>
            <w:spacing w:before="0" w:after="0"/>
            <w:jc w:val="both"/>
            <w:rPr>
              <w:rFonts w:ascii="Times New Roman" w:hAnsi="Times New Roman" w:eastAsia="Times New Roman"/>
              <w:sz w:val="24"/>
              <w:szCs w:val="24"/>
            </w:rPr>
          </w:pPr>
          <w:r>
            <w:rPr>
              <w:rFonts w:eastAsia="Times New Roman" w:ascii="Times New Roman" w:hAnsi="Times New Roman"/>
              <w:sz w:val="24"/>
              <w:szCs w:val="24"/>
            </w:rPr>
            <w:t>10. zásady ochrany zdraví, bezpečnosti práce při provozu zařízení</w:t>
            <w:tab/>
            <w:t>10</w:t>
          </w:r>
        </w:p>
        <w:p>
          <w:pPr>
            <w:pStyle w:val="Obsah1"/>
            <w:widowControl/>
            <w:bidi w:val="0"/>
            <w:spacing w:before="0" w:after="0"/>
            <w:jc w:val="both"/>
            <w:rPr>
              <w:rFonts w:ascii="Times New Roman" w:hAnsi="Times New Roman" w:eastAsia="Times New Roman"/>
              <w:sz w:val="24"/>
              <w:szCs w:val="24"/>
            </w:rPr>
          </w:pPr>
          <w:r>
            <w:rPr>
              <w:rFonts w:eastAsia="Times New Roman" w:ascii="Times New Roman" w:hAnsi="Times New Roman"/>
              <w:sz w:val="24"/>
              <w:szCs w:val="24"/>
            </w:rPr>
            <w:t>11. ochrana životního prostředí, ochrana proti hluku a vibracím, požární opatření</w:t>
            <w:tab/>
            <w:t>12</w:t>
          </w:r>
        </w:p>
        <w:p>
          <w:pPr>
            <w:pStyle w:val="Obsah1"/>
            <w:rPr>
              <w:rFonts w:ascii="Times New Roman" w:hAnsi="Times New Roman" w:eastAsia="Times New Roman"/>
              <w:sz w:val="24"/>
              <w:szCs w:val="24"/>
            </w:rPr>
          </w:pPr>
          <w:r>
            <w:rPr>
              <w:rFonts w:eastAsia="Times New Roman" w:ascii="Times New Roman" w:hAnsi="Times New Roman"/>
              <w:sz w:val="24"/>
              <w:szCs w:val="24"/>
            </w:rPr>
            <w:t>12. požadavky na postup realizačních prací a podmínky projektanta pro realizaci díla, jeho uvedení do provozu a provozování během životnosti stavby</w:t>
            <w:tab/>
            <w:t>12</w:t>
          </w:r>
          <w:r>
            <w:rPr>
              <w:sz w:val="24"/>
              <w:szCs w:val="24"/>
              <w:rFonts w:eastAsia="Times New Roman" w:ascii="Times New Roman" w:hAnsi="Times New Roman"/>
            </w:rPr>
            <w:fldChar w:fldCharType="end"/>
          </w:r>
        </w:p>
      </w:sdtContent>
    </w:sdt>
    <w:p>
      <w:pPr>
        <w:pStyle w:val="Nadpis1"/>
        <w:keepNext w:val="true"/>
        <w:widowControl/>
        <w:bidi w:val="0"/>
        <w:spacing w:before="170" w:after="113"/>
        <w:ind w:left="567" w:right="0" w:hanging="567"/>
        <w:jc w:val="both"/>
        <w:rPr/>
      </w:pPr>
      <w:bookmarkStart w:id="0" w:name="__RefHeading___Toc10829_2687883190"/>
      <w:bookmarkStart w:id="1" w:name="_Toc473611581"/>
      <w:bookmarkEnd w:id="0"/>
      <w:r>
        <w:rPr/>
        <w:t>Základní identifikační údaje</w:t>
      </w:r>
      <w:bookmarkEnd w:id="1"/>
    </w:p>
    <w:p>
      <w:pPr>
        <w:pStyle w:val="Normal"/>
        <w:rPr>
          <w:rFonts w:ascii="Arial" w:hAnsi="Arial"/>
          <w:sz w:val="22"/>
          <w:szCs w:val="22"/>
        </w:rPr>
      </w:pPr>
      <w:r>
        <w:rPr>
          <w:sz w:val="22"/>
          <w:szCs w:val="22"/>
        </w:rPr>
        <w:t xml:space="preserve">Název zařízení: </w:t>
        <w:tab/>
        <w:tab/>
        <w:t>Nemocnice Semily</w:t>
        <w:tab/>
        <w:tab/>
        <w:tab/>
        <w:tab/>
      </w:r>
    </w:p>
    <w:p>
      <w:pPr>
        <w:pStyle w:val="Normal"/>
        <w:rPr>
          <w:rFonts w:ascii="Arial" w:hAnsi="Arial"/>
          <w:sz w:val="22"/>
          <w:szCs w:val="22"/>
        </w:rPr>
      </w:pPr>
      <w:r>
        <w:rPr>
          <w:sz w:val="22"/>
          <w:szCs w:val="22"/>
        </w:rPr>
        <w:t xml:space="preserve">Provozovatel zařízení: </w:t>
        <w:tab/>
        <w:t>MMN, a.s</w:t>
      </w:r>
    </w:p>
    <w:p>
      <w:pPr>
        <w:pStyle w:val="Normal"/>
        <w:rPr>
          <w:rFonts w:ascii="Arial" w:hAnsi="Arial"/>
          <w:sz w:val="22"/>
          <w:szCs w:val="22"/>
        </w:rPr>
      </w:pPr>
      <w:r>
        <w:rPr>
          <w:sz w:val="22"/>
          <w:szCs w:val="22"/>
        </w:rPr>
        <w:tab/>
        <w:tab/>
        <w:tab/>
        <w:tab/>
        <w:t>Metyšova 465, 514 01 Jilemnice</w:t>
      </w:r>
    </w:p>
    <w:p>
      <w:pPr>
        <w:pStyle w:val="Normal"/>
        <w:rPr>
          <w:rFonts w:ascii="Arial" w:hAnsi="Arial"/>
          <w:sz w:val="22"/>
          <w:szCs w:val="22"/>
        </w:rPr>
      </w:pPr>
      <w:r>
        <w:rPr>
          <w:sz w:val="22"/>
          <w:szCs w:val="22"/>
        </w:rPr>
        <w:tab/>
        <w:tab/>
        <w:tab/>
        <w:tab/>
        <w:t>Poskytování zdravotních služeb.</w:t>
      </w:r>
    </w:p>
    <w:p>
      <w:pPr>
        <w:pStyle w:val="Normal"/>
        <w:rPr>
          <w:rFonts w:ascii="Arial" w:hAnsi="Arial"/>
          <w:sz w:val="22"/>
          <w:szCs w:val="22"/>
        </w:rPr>
      </w:pPr>
      <w:r>
        <w:rPr>
          <w:sz w:val="22"/>
          <w:szCs w:val="22"/>
        </w:rPr>
        <w:tab/>
        <w:tab/>
        <w:tab/>
        <w:tab/>
        <w:t>Sociální služby poskytované ve zdravotnických zařízeních</w:t>
      </w:r>
    </w:p>
    <w:p>
      <w:pPr>
        <w:pStyle w:val="Normal"/>
        <w:rPr>
          <w:rFonts w:ascii="Arial" w:hAnsi="Arial"/>
          <w:sz w:val="22"/>
          <w:szCs w:val="22"/>
        </w:rPr>
      </w:pPr>
      <w:r>
        <w:rPr>
          <w:sz w:val="22"/>
          <w:szCs w:val="22"/>
        </w:rPr>
        <w:tab/>
        <w:tab/>
        <w:tab/>
        <w:tab/>
        <w:t>lůžkové péče.</w:t>
      </w:r>
    </w:p>
    <w:p>
      <w:pPr>
        <w:pStyle w:val="Normal"/>
        <w:rPr>
          <w:rFonts w:ascii="Arial" w:hAnsi="Arial"/>
          <w:sz w:val="22"/>
          <w:szCs w:val="22"/>
        </w:rPr>
      </w:pPr>
      <w:r>
        <w:rPr>
          <w:sz w:val="22"/>
          <w:szCs w:val="22"/>
        </w:rPr>
      </w:r>
    </w:p>
    <w:p>
      <w:pPr>
        <w:pStyle w:val="Normal"/>
        <w:rPr>
          <w:rFonts w:ascii="Arial" w:hAnsi="Arial"/>
          <w:sz w:val="22"/>
          <w:szCs w:val="22"/>
        </w:rPr>
      </w:pPr>
      <w:r>
        <w:rPr>
          <w:sz w:val="22"/>
          <w:szCs w:val="22"/>
        </w:rPr>
        <w:t xml:space="preserve">IČO: </w:t>
        <w:tab/>
        <w:tab/>
        <w:tab/>
        <w:tab/>
        <w:t>054 21 888</w:t>
      </w:r>
    </w:p>
    <w:p>
      <w:pPr>
        <w:pStyle w:val="Normal"/>
        <w:rPr>
          <w:rFonts w:ascii="Arial" w:hAnsi="Arial"/>
          <w:sz w:val="22"/>
          <w:szCs w:val="22"/>
        </w:rPr>
      </w:pPr>
      <w:r>
        <w:rPr>
          <w:sz w:val="22"/>
          <w:szCs w:val="22"/>
        </w:rPr>
      </w:r>
    </w:p>
    <w:p>
      <w:pPr>
        <w:pStyle w:val="Normal"/>
        <w:rPr>
          <w:rFonts w:ascii="Arial" w:hAnsi="Arial"/>
          <w:sz w:val="22"/>
          <w:szCs w:val="22"/>
        </w:rPr>
      </w:pPr>
      <w:r>
        <w:rPr>
          <w:sz w:val="22"/>
          <w:szCs w:val="22"/>
        </w:rPr>
        <w:t xml:space="preserve">Umístění zařízení: </w:t>
        <w:tab/>
        <w:tab/>
        <w:t xml:space="preserve">Kraj: </w:t>
        <w:tab/>
        <w:tab/>
        <w:tab/>
        <w:t>Liberecký</w:t>
      </w:r>
    </w:p>
    <w:p>
      <w:pPr>
        <w:pStyle w:val="Normal"/>
        <w:rPr>
          <w:rFonts w:ascii="Arial" w:hAnsi="Arial"/>
          <w:sz w:val="22"/>
          <w:szCs w:val="22"/>
        </w:rPr>
      </w:pPr>
      <w:r>
        <w:rPr>
          <w:sz w:val="22"/>
          <w:szCs w:val="22"/>
        </w:rPr>
        <w:tab/>
        <w:tab/>
        <w:tab/>
        <w:tab/>
        <w:t>Parcelní číslo:</w:t>
        <w:tab/>
        <w:tab/>
        <w:t>519/6</w:t>
      </w:r>
    </w:p>
    <w:p>
      <w:pPr>
        <w:pStyle w:val="Normal"/>
        <w:rPr>
          <w:rFonts w:ascii="Arial" w:hAnsi="Arial"/>
          <w:sz w:val="22"/>
          <w:szCs w:val="22"/>
        </w:rPr>
      </w:pPr>
      <w:r>
        <w:rPr>
          <w:sz w:val="22"/>
          <w:szCs w:val="22"/>
        </w:rPr>
        <w:tab/>
        <w:tab/>
        <w:tab/>
        <w:tab/>
        <w:t>Obec:</w:t>
        <w:tab/>
        <w:tab/>
        <w:tab/>
        <w:t>Semily [576964]</w:t>
      </w:r>
    </w:p>
    <w:p>
      <w:pPr>
        <w:pStyle w:val="Normal"/>
        <w:rPr>
          <w:rFonts w:ascii="Arial" w:hAnsi="Arial"/>
          <w:sz w:val="22"/>
          <w:szCs w:val="22"/>
        </w:rPr>
      </w:pPr>
      <w:r>
        <w:rPr>
          <w:sz w:val="22"/>
          <w:szCs w:val="22"/>
        </w:rPr>
        <w:tab/>
        <w:tab/>
        <w:tab/>
        <w:tab/>
        <w:t>Katastrální území:</w:t>
        <w:tab/>
        <w:t>Semily [747246]</w:t>
      </w:r>
    </w:p>
    <w:p>
      <w:pPr>
        <w:pStyle w:val="Normal"/>
        <w:rPr>
          <w:rFonts w:ascii="Arial" w:hAnsi="Arial"/>
          <w:sz w:val="22"/>
          <w:szCs w:val="22"/>
        </w:rPr>
      </w:pPr>
      <w:r>
        <w:rPr>
          <w:sz w:val="22"/>
          <w:szCs w:val="22"/>
        </w:rPr>
        <w:tab/>
        <w:tab/>
        <w:tab/>
        <w:tab/>
        <w:t>Číslo LV:</w:t>
        <w:tab/>
        <w:tab/>
        <w:t>4456</w:t>
      </w:r>
    </w:p>
    <w:p>
      <w:pPr>
        <w:pStyle w:val="Normal"/>
        <w:rPr>
          <w:rFonts w:ascii="Arial" w:hAnsi="Arial"/>
          <w:sz w:val="22"/>
          <w:szCs w:val="22"/>
        </w:rPr>
      </w:pPr>
      <w:r>
        <w:rPr>
          <w:sz w:val="22"/>
          <w:szCs w:val="22"/>
        </w:rPr>
        <w:tab/>
        <w:tab/>
        <w:tab/>
        <w:tab/>
        <w:t>Výměra [m2]:</w:t>
        <w:tab/>
        <w:tab/>
        <w:t>1415</w:t>
      </w:r>
    </w:p>
    <w:p>
      <w:pPr>
        <w:pStyle w:val="Normal"/>
        <w:rPr>
          <w:rFonts w:ascii="Arial" w:hAnsi="Arial"/>
          <w:sz w:val="22"/>
          <w:szCs w:val="22"/>
        </w:rPr>
      </w:pPr>
      <w:r>
        <w:rPr>
          <w:sz w:val="22"/>
          <w:szCs w:val="22"/>
        </w:rPr>
        <w:tab/>
        <w:tab/>
        <w:tab/>
        <w:tab/>
        <w:t>Typ parcely:</w:t>
        <w:tab/>
        <w:tab/>
        <w:t>Parcela katastru nemovitostí</w:t>
      </w:r>
    </w:p>
    <w:p>
      <w:pPr>
        <w:pStyle w:val="Normal"/>
        <w:rPr>
          <w:rFonts w:ascii="Arial" w:hAnsi="Arial"/>
          <w:sz w:val="22"/>
          <w:szCs w:val="22"/>
        </w:rPr>
      </w:pPr>
      <w:r>
        <w:rPr>
          <w:sz w:val="22"/>
          <w:szCs w:val="22"/>
        </w:rPr>
        <w:tab/>
        <w:tab/>
        <w:tab/>
        <w:tab/>
        <w:t>Druh pozemku:</w:t>
        <w:tab/>
        <w:t>Zastavěná plocha a nádvoří</w:t>
        <w:tab/>
      </w:r>
    </w:p>
    <w:p>
      <w:pPr>
        <w:pStyle w:val="Normal"/>
        <w:rPr>
          <w:rFonts w:ascii="Arial" w:hAnsi="Arial"/>
          <w:sz w:val="22"/>
          <w:szCs w:val="22"/>
        </w:rPr>
      </w:pPr>
      <w:r>
        <w:rPr>
          <w:sz w:val="22"/>
          <w:szCs w:val="22"/>
        </w:rPr>
      </w:r>
    </w:p>
    <w:p>
      <w:pPr>
        <w:pStyle w:val="Normal"/>
        <w:tabs>
          <w:tab w:val="clear" w:pos="708"/>
        </w:tabs>
        <w:spacing w:before="0" w:after="0"/>
        <w:ind w:left="0" w:right="901" w:hanging="0"/>
        <w:rPr>
          <w:rFonts w:ascii="Arial" w:hAnsi="Arial" w:eastAsia="Times New Roman" w:cs="Arial"/>
          <w:bCs/>
          <w:sz w:val="22"/>
          <w:szCs w:val="22"/>
          <w:lang w:val="cs-CZ" w:eastAsia="cs-CZ"/>
        </w:rPr>
      </w:pPr>
      <w:r>
        <w:rPr>
          <w:rFonts w:eastAsia="Times New Roman" w:cs="Arial"/>
          <w:bCs/>
          <w:sz w:val="22"/>
          <w:szCs w:val="22"/>
          <w:lang w:val="cs-CZ" w:eastAsia="cs-CZ"/>
        </w:rPr>
        <w:t>Budova bez čísla popisného nebo evidenčního:</w:t>
        <w:tab/>
        <w:t>Objekt občanské vybavenosti - Prádelna</w:t>
        <w:tab/>
      </w:r>
    </w:p>
    <w:p>
      <w:pPr>
        <w:pStyle w:val="Nadpis1"/>
        <w:keepNext w:val="true"/>
        <w:widowControl/>
        <w:bidi w:val="0"/>
        <w:spacing w:before="170" w:after="113"/>
        <w:ind w:left="567" w:right="0" w:hanging="567"/>
        <w:jc w:val="both"/>
        <w:rPr>
          <w:rFonts w:eastAsia="Times New Roman" w:cs="Arial"/>
          <w:b/>
          <w:b/>
          <w:bCs/>
          <w:sz w:val="24"/>
          <w:szCs w:val="32"/>
        </w:rPr>
      </w:pPr>
      <w:r>
        <w:rPr>
          <w:rFonts w:eastAsia="Times New Roman" w:cs="Arial"/>
          <w:b/>
          <w:bCs/>
          <w:sz w:val="24"/>
          <w:szCs w:val="32"/>
        </w:rPr>
        <w:t>seznam příloh</w:t>
      </w:r>
    </w:p>
    <w:p>
      <w:pPr>
        <w:pStyle w:val="Formtovanv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0" w:after="0"/>
        <w:ind w:left="0" w:right="901" w:hanging="0"/>
        <w:rPr>
          <w:rFonts w:ascii="Arial" w:hAnsi="Arial" w:eastAsia="Times New Roman" w:cs="Arial"/>
          <w:bCs/>
          <w:sz w:val="24"/>
          <w:szCs w:val="24"/>
          <w:lang w:val="cs-CZ" w:eastAsia="cs-CZ"/>
        </w:rPr>
      </w:pPr>
      <w:r>
        <w:rPr>
          <w:rFonts w:eastAsia="Times New Roman" w:cs="Arial" w:ascii="Arial" w:hAnsi="Arial"/>
          <w:bCs/>
          <w:sz w:val="24"/>
          <w:szCs w:val="24"/>
          <w:lang w:val="cs-CZ" w:eastAsia="cs-CZ"/>
        </w:rPr>
        <w:t>Kabelový seznam</w:t>
      </w:r>
    </w:p>
    <w:p>
      <w:pPr>
        <w:pStyle w:val="Formtovanv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0" w:after="0"/>
        <w:ind w:left="0" w:right="901" w:hanging="0"/>
        <w:rPr>
          <w:rFonts w:ascii="Arial" w:hAnsi="Arial" w:eastAsia="Times New Roman" w:cs="Arial"/>
          <w:bCs/>
          <w:sz w:val="24"/>
          <w:szCs w:val="24"/>
          <w:lang w:val="cs-CZ" w:eastAsia="cs-CZ"/>
        </w:rPr>
      </w:pPr>
      <w:r>
        <w:rPr>
          <w:rFonts w:eastAsia="Times New Roman" w:cs="Arial" w:ascii="Arial" w:hAnsi="Arial"/>
          <w:bCs/>
          <w:sz w:val="24"/>
          <w:szCs w:val="24"/>
          <w:lang w:val="cs-CZ" w:eastAsia="cs-CZ"/>
        </w:rPr>
        <w:t>Seznam datových bodů</w:t>
      </w:r>
    </w:p>
    <w:p>
      <w:pPr>
        <w:pStyle w:val="Nadpis1"/>
        <w:keepNext w:val="true"/>
        <w:widowControl/>
        <w:bidi w:val="0"/>
        <w:spacing w:before="170" w:after="170"/>
        <w:ind w:left="567" w:right="0" w:hanging="567"/>
        <w:jc w:val="both"/>
        <w:rPr/>
      </w:pPr>
      <w:bookmarkStart w:id="2" w:name="__RefHeading___Toc515456908"/>
      <w:bookmarkEnd w:id="2"/>
      <w:r>
        <w:rPr/>
        <w:t>výpis použitých norem - normových hodnot a předpisů</w:t>
      </w:r>
    </w:p>
    <w:tbl>
      <w:tblPr>
        <w:tblW w:w="9758" w:type="dxa"/>
        <w:jc w:val="left"/>
        <w:tblInd w:w="-44" w:type="dxa"/>
        <w:tblLayout w:type="fixed"/>
        <w:tblCellMar>
          <w:top w:w="0" w:type="dxa"/>
          <w:left w:w="70" w:type="dxa"/>
          <w:bottom w:w="0" w:type="dxa"/>
          <w:right w:w="70" w:type="dxa"/>
        </w:tblCellMar>
      </w:tblPr>
      <w:tblGrid>
        <w:gridCol w:w="3136"/>
        <w:gridCol w:w="6622"/>
      </w:tblGrid>
      <w:tr>
        <w:trPr>
          <w:trHeight w:val="270" w:hRule="atLeast"/>
        </w:trPr>
        <w:tc>
          <w:tcPr>
            <w:tcW w:w="3136" w:type="dxa"/>
            <w:tcBorders>
              <w:top w:val="single" w:sz="4" w:space="0" w:color="000000"/>
              <w:left w:val="single" w:sz="4" w:space="0" w:color="000000"/>
              <w:bottom w:val="single" w:sz="4" w:space="0" w:color="000000"/>
            </w:tcBorders>
            <w:shd w:fill="BFBFBF" w:val="clear"/>
            <w:vAlign w:val="bottom"/>
          </w:tcPr>
          <w:p>
            <w:pPr>
              <w:pStyle w:val="Normal"/>
              <w:widowControl w:val="false"/>
              <w:ind w:left="0" w:right="-122" w:hanging="0"/>
              <w:rPr>
                <w:b/>
                <w:b/>
                <w:bCs/>
              </w:rPr>
            </w:pPr>
            <w:r>
              <w:rPr>
                <w:b/>
                <w:bCs/>
              </w:rPr>
              <w:t> </w:t>
            </w:r>
            <w:r>
              <w:rPr>
                <w:b/>
                <w:bCs/>
              </w:rPr>
              <w:t>Označení technické normy</w:t>
            </w:r>
          </w:p>
        </w:tc>
        <w:tc>
          <w:tcPr>
            <w:tcW w:w="6622" w:type="dxa"/>
            <w:tcBorders>
              <w:top w:val="single" w:sz="4" w:space="0" w:color="000000"/>
              <w:left w:val="single" w:sz="4" w:space="0" w:color="000000"/>
              <w:bottom w:val="single" w:sz="4" w:space="0" w:color="000000"/>
              <w:right w:val="single" w:sz="4" w:space="0" w:color="000000"/>
            </w:tcBorders>
            <w:shd w:fill="BFBFBF" w:val="clear"/>
            <w:vAlign w:val="bottom"/>
          </w:tcPr>
          <w:p>
            <w:pPr>
              <w:pStyle w:val="Normal"/>
              <w:widowControl w:val="false"/>
              <w:ind w:left="0" w:right="-122" w:hanging="0"/>
              <w:rPr>
                <w:b/>
                <w:b/>
                <w:bCs/>
              </w:rPr>
            </w:pPr>
            <w:r>
              <w:rPr>
                <w:b/>
                <w:bCs/>
              </w:rPr>
              <w:t> </w:t>
            </w:r>
            <w:r>
              <w:rPr>
                <w:b/>
                <w:bCs/>
              </w:rPr>
              <w:t>Název technické normy</w:t>
            </w:r>
          </w:p>
        </w:tc>
      </w:tr>
      <w:tr>
        <w:trPr>
          <w:trHeight w:val="270" w:hRule="atLeast"/>
        </w:trPr>
        <w:tc>
          <w:tcPr>
            <w:tcW w:w="3136" w:type="dxa"/>
            <w:tcBorders>
              <w:top w:val="single" w:sz="4" w:space="0" w:color="000000"/>
              <w:left w:val="single" w:sz="4" w:space="0" w:color="000000"/>
              <w:bottom w:val="single" w:sz="4" w:space="0" w:color="000000"/>
            </w:tcBorders>
            <w:vAlign w:val="center"/>
          </w:tcPr>
          <w:p>
            <w:pPr>
              <w:pStyle w:val="Normal"/>
              <w:widowControl w:val="false"/>
              <w:rPr/>
            </w:pPr>
            <w:r>
              <w:rPr/>
              <w:t>ČSN 33 20 00 – 5-51 ed.3</w:t>
            </w:r>
          </w:p>
        </w:tc>
        <w:tc>
          <w:tcPr>
            <w:tcW w:w="66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Stanovení základních charakteristik</w:t>
            </w:r>
          </w:p>
        </w:tc>
      </w:tr>
      <w:tr>
        <w:trPr>
          <w:trHeight w:val="270" w:hRule="atLeast"/>
        </w:trPr>
        <w:tc>
          <w:tcPr>
            <w:tcW w:w="3136" w:type="dxa"/>
            <w:tcBorders>
              <w:top w:val="single" w:sz="4" w:space="0" w:color="000000"/>
              <w:left w:val="single" w:sz="4" w:space="0" w:color="000000"/>
              <w:bottom w:val="single" w:sz="4" w:space="0" w:color="000000"/>
            </w:tcBorders>
            <w:vAlign w:val="center"/>
          </w:tcPr>
          <w:p>
            <w:pPr>
              <w:pStyle w:val="Normal"/>
              <w:widowControl w:val="false"/>
              <w:rPr/>
            </w:pPr>
            <w:r>
              <w:rPr/>
              <w:t>ČSN 33 20 00 - 4 – 41 ed.2</w:t>
            </w:r>
          </w:p>
        </w:tc>
        <w:tc>
          <w:tcPr>
            <w:tcW w:w="66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Ochrana před úrazem elektrickým proudem</w:t>
            </w:r>
          </w:p>
        </w:tc>
      </w:tr>
      <w:tr>
        <w:trPr>
          <w:trHeight w:val="270" w:hRule="atLeast"/>
        </w:trPr>
        <w:tc>
          <w:tcPr>
            <w:tcW w:w="3136" w:type="dxa"/>
            <w:tcBorders>
              <w:top w:val="single" w:sz="4" w:space="0" w:color="000000"/>
              <w:left w:val="single" w:sz="4" w:space="0" w:color="000000"/>
              <w:bottom w:val="single" w:sz="4" w:space="0" w:color="000000"/>
            </w:tcBorders>
            <w:vAlign w:val="center"/>
          </w:tcPr>
          <w:p>
            <w:pPr>
              <w:pStyle w:val="Normal"/>
              <w:widowControl w:val="false"/>
              <w:rPr/>
            </w:pPr>
            <w:r>
              <w:rPr/>
              <w:t>ČSN 33 20 00 - 4 - 473</w:t>
            </w:r>
          </w:p>
        </w:tc>
        <w:tc>
          <w:tcPr>
            <w:tcW w:w="6622" w:type="dxa"/>
            <w:tcBorders>
              <w:top w:val="single" w:sz="4" w:space="0" w:color="000000"/>
              <w:left w:val="single" w:sz="4" w:space="0" w:color="000000"/>
              <w:bottom w:val="single" w:sz="4" w:space="0" w:color="000000"/>
              <w:right w:val="single" w:sz="4" w:space="0" w:color="000000"/>
            </w:tcBorders>
            <w:vAlign w:val="center"/>
          </w:tcPr>
          <w:p>
            <w:pPr>
              <w:pStyle w:val="Zhlav"/>
              <w:widowControl w:val="false"/>
              <w:rPr/>
            </w:pPr>
            <w:r>
              <w:rPr/>
              <w:t>Použití ochranných opatření pro zajištění bezpečnosti</w:t>
              <w:tab/>
              <w:t xml:space="preserve">     opatření proti nadproudům</w:t>
            </w:r>
          </w:p>
        </w:tc>
      </w:tr>
      <w:tr>
        <w:trPr>
          <w:trHeight w:val="270" w:hRule="atLeast"/>
        </w:trPr>
        <w:tc>
          <w:tcPr>
            <w:tcW w:w="3136" w:type="dxa"/>
            <w:tcBorders>
              <w:top w:val="single" w:sz="4" w:space="0" w:color="000000"/>
              <w:left w:val="single" w:sz="4" w:space="0" w:color="000000"/>
              <w:bottom w:val="single" w:sz="4" w:space="0" w:color="000000"/>
            </w:tcBorders>
            <w:vAlign w:val="center"/>
          </w:tcPr>
          <w:p>
            <w:pPr>
              <w:pStyle w:val="Normal"/>
              <w:widowControl w:val="false"/>
              <w:rPr/>
            </w:pPr>
            <w:r>
              <w:rPr/>
              <w:t>ČSN 33 20 00 - 4 – 43 ed.2</w:t>
            </w:r>
          </w:p>
        </w:tc>
        <w:tc>
          <w:tcPr>
            <w:tcW w:w="66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Ochrana proti nadproudům</w:t>
            </w:r>
          </w:p>
        </w:tc>
      </w:tr>
      <w:tr>
        <w:trPr>
          <w:trHeight w:val="270" w:hRule="atLeast"/>
        </w:trPr>
        <w:tc>
          <w:tcPr>
            <w:tcW w:w="3136" w:type="dxa"/>
            <w:tcBorders>
              <w:top w:val="single" w:sz="4" w:space="0" w:color="000000"/>
              <w:left w:val="single" w:sz="4" w:space="0" w:color="000000"/>
              <w:bottom w:val="single" w:sz="4" w:space="0" w:color="000000"/>
            </w:tcBorders>
            <w:vAlign w:val="center"/>
          </w:tcPr>
          <w:p>
            <w:pPr>
              <w:pStyle w:val="Normal"/>
              <w:widowControl w:val="false"/>
              <w:rPr/>
            </w:pPr>
            <w:r>
              <w:rPr/>
              <w:t>ČSN 33 20 00 - 5 – 52 ed.2</w:t>
            </w:r>
          </w:p>
        </w:tc>
        <w:tc>
          <w:tcPr>
            <w:tcW w:w="66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Elektrické instalace nízkého napětí,výběr a stavba elektrických  zařízení, Elektrické vedení</w:t>
            </w:r>
          </w:p>
        </w:tc>
      </w:tr>
      <w:tr>
        <w:trPr>
          <w:trHeight w:val="270" w:hRule="atLeast"/>
        </w:trPr>
        <w:tc>
          <w:tcPr>
            <w:tcW w:w="3136" w:type="dxa"/>
            <w:tcBorders>
              <w:top w:val="single" w:sz="4" w:space="0" w:color="000000"/>
              <w:left w:val="single" w:sz="4" w:space="0" w:color="000000"/>
              <w:bottom w:val="single" w:sz="4" w:space="0" w:color="000000"/>
            </w:tcBorders>
            <w:vAlign w:val="center"/>
          </w:tcPr>
          <w:p>
            <w:pPr>
              <w:pStyle w:val="Normal"/>
              <w:widowControl w:val="false"/>
              <w:rPr/>
            </w:pPr>
            <w:r>
              <w:rPr/>
              <w:t>ČSN 61 439-1 ed.2</w:t>
            </w:r>
          </w:p>
        </w:tc>
        <w:tc>
          <w:tcPr>
            <w:tcW w:w="66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Rozváděče nn</w:t>
            </w:r>
          </w:p>
        </w:tc>
      </w:tr>
      <w:tr>
        <w:trPr>
          <w:trHeight w:val="270" w:hRule="atLeast"/>
        </w:trPr>
        <w:tc>
          <w:tcPr>
            <w:tcW w:w="3136" w:type="dxa"/>
            <w:tcBorders>
              <w:top w:val="single" w:sz="4" w:space="0" w:color="000000"/>
              <w:left w:val="single" w:sz="4" w:space="0" w:color="000000"/>
              <w:bottom w:val="single" w:sz="4" w:space="0" w:color="000000"/>
            </w:tcBorders>
            <w:vAlign w:val="center"/>
          </w:tcPr>
          <w:p>
            <w:pPr>
              <w:pStyle w:val="Normal"/>
              <w:widowControl w:val="false"/>
              <w:rPr/>
            </w:pPr>
            <w:r>
              <w:rPr/>
              <w:t>ČSN 07 07 03</w:t>
            </w:r>
          </w:p>
        </w:tc>
        <w:tc>
          <w:tcPr>
            <w:tcW w:w="66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Plynové kotelny</w:t>
            </w:r>
          </w:p>
        </w:tc>
      </w:tr>
      <w:tr>
        <w:trPr>
          <w:trHeight w:val="270" w:hRule="atLeast"/>
        </w:trPr>
        <w:tc>
          <w:tcPr>
            <w:tcW w:w="3136" w:type="dxa"/>
            <w:tcBorders>
              <w:top w:val="single" w:sz="4" w:space="0" w:color="000000"/>
              <w:left w:val="single" w:sz="4" w:space="0" w:color="000000"/>
              <w:bottom w:val="single" w:sz="4" w:space="0" w:color="000000"/>
            </w:tcBorders>
            <w:vAlign w:val="center"/>
          </w:tcPr>
          <w:p>
            <w:pPr>
              <w:pStyle w:val="Normal"/>
              <w:widowControl w:val="false"/>
              <w:rPr/>
            </w:pPr>
            <w:r>
              <w:rPr/>
              <w:t>ČSN 06 30 10/Z2</w:t>
            </w:r>
          </w:p>
        </w:tc>
        <w:tc>
          <w:tcPr>
            <w:tcW w:w="66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Tepelné soustavy v budovách -Projektování a montáž</w:t>
            </w:r>
          </w:p>
        </w:tc>
      </w:tr>
      <w:tr>
        <w:trPr>
          <w:trHeight w:val="270" w:hRule="atLeast"/>
        </w:trPr>
        <w:tc>
          <w:tcPr>
            <w:tcW w:w="3136" w:type="dxa"/>
            <w:tcBorders>
              <w:top w:val="single" w:sz="4" w:space="0" w:color="000000"/>
              <w:left w:val="single" w:sz="4" w:space="0" w:color="000000"/>
              <w:bottom w:val="single" w:sz="4" w:space="0" w:color="000000"/>
            </w:tcBorders>
            <w:vAlign w:val="center"/>
          </w:tcPr>
          <w:p>
            <w:pPr>
              <w:pStyle w:val="Normal"/>
              <w:widowControl w:val="false"/>
              <w:rPr/>
            </w:pPr>
            <w:r>
              <w:rPr/>
              <w:t>ČSN EN 12828+A1</w:t>
            </w:r>
          </w:p>
        </w:tc>
        <w:tc>
          <w:tcPr>
            <w:tcW w:w="66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Tepelné soustavy v budovách -Navrhování teplovodních otopných soustav</w:t>
            </w:r>
          </w:p>
        </w:tc>
      </w:tr>
    </w:tbl>
    <w:p>
      <w:pPr>
        <w:pStyle w:val="Nadpis1"/>
        <w:keepNext w:val="true"/>
        <w:widowControl/>
        <w:bidi w:val="0"/>
        <w:spacing w:before="170" w:after="113"/>
        <w:ind w:left="567" w:right="0" w:hanging="567"/>
        <w:jc w:val="both"/>
        <w:rPr/>
      </w:pPr>
      <w:bookmarkStart w:id="3" w:name="__RefHeading___Toc515456909"/>
      <w:bookmarkEnd w:id="3"/>
      <w:r>
        <w:rPr/>
        <w:t>výchozí podklady a stavební program</w:t>
      </w:r>
    </w:p>
    <w:p>
      <w:pPr>
        <w:pStyle w:val="Normal"/>
        <w:spacing w:lineRule="atLeast" w:line="240" w:before="120" w:after="0"/>
        <w:jc w:val="both"/>
        <w:rPr/>
      </w:pPr>
      <w:r>
        <w:rPr>
          <w:rFonts w:cs="Times New Roman" w:ascii="Times New Roman" w:hAnsi="Times New Roman"/>
          <w:sz w:val="24"/>
          <w:szCs w:val="24"/>
        </w:rPr>
        <w:t xml:space="preserve">Projekt MaR v rozsahu pro provedení stavby řeší řízení </w:t>
      </w:r>
      <w:r>
        <w:rPr>
          <w:rFonts w:eastAsia="Times New Roman" w:cs="Times New Roman" w:ascii="Times New Roman" w:hAnsi="Times New Roman"/>
          <w:color w:val="auto"/>
          <w:sz w:val="24"/>
          <w:szCs w:val="24"/>
          <w:lang w:val="cs-CZ" w:eastAsia="zh-CN" w:bidi="ar-SA"/>
        </w:rPr>
        <w:t>vytápění</w:t>
      </w:r>
      <w:r>
        <w:rPr>
          <w:rFonts w:cs="Times New Roman" w:ascii="Times New Roman" w:hAnsi="Times New Roman"/>
          <w:sz w:val="24"/>
          <w:szCs w:val="24"/>
        </w:rPr>
        <w:t xml:space="preserve"> a zabezpečení </w:t>
      </w:r>
      <w:r>
        <w:rPr>
          <w:rFonts w:eastAsia="Times New Roman" w:cs="Times New Roman" w:ascii="Times New Roman" w:hAnsi="Times New Roman"/>
          <w:color w:val="auto"/>
          <w:sz w:val="24"/>
          <w:szCs w:val="24"/>
          <w:lang w:val="cs-CZ" w:eastAsia="zh-CN" w:bidi="ar-SA"/>
        </w:rPr>
        <w:t>výroby technologické páry</w:t>
      </w:r>
      <w:r>
        <w:rPr>
          <w:rFonts w:cs="Times New Roman" w:ascii="Times New Roman" w:hAnsi="Times New Roman"/>
          <w:sz w:val="24"/>
          <w:szCs w:val="24"/>
        </w:rPr>
        <w:t xml:space="preserve"> v rámci úpravy rozvodů technologické páry pro potřeby prádelny v hospodářském pavilónu v areálu Nemocnice v Semilech. Tyto úpravy jsou vyvolány odpojením od stávajícího zdroje páry, rozšířením a úpravou technologie prádelny spojené s instalací nového vyvíječe páry </w:t>
      </w:r>
      <w:r>
        <w:rPr>
          <w:rFonts w:cs="Times New Roman" w:ascii="Times New Roman" w:hAnsi="Times New Roman"/>
          <w:sz w:val="24"/>
          <w:szCs w:val="24"/>
        </w:rPr>
        <w:t>a</w:t>
      </w:r>
      <w:r>
        <w:rPr>
          <w:rFonts w:cs="Times New Roman" w:ascii="Times New Roman" w:hAnsi="Times New Roman"/>
          <w:sz w:val="24"/>
          <w:szCs w:val="24"/>
        </w:rPr>
        <w:t> instalací nových zařízení technologie prádelny v tomto objektu. Pro přívod páry bude v objektu instalován nový vyvíječ páry o kapacitě 700kg páry/hod. Instalovaná technologie pracuje ve dvou tlakových pásmech do 0,8Mpa a do 1,2MPa.</w:t>
      </w:r>
    </w:p>
    <w:p>
      <w:pPr>
        <w:pStyle w:val="Nadpiszkladn"/>
        <w:keepNext w:val="false"/>
        <w:keepLines w:val="false"/>
        <w:tabs>
          <w:tab w:val="clear" w:pos="284"/>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s>
        <w:overflowPunct w:val="false"/>
        <w:spacing w:lineRule="atLeast" w:line="240" w:before="170" w:after="113"/>
        <w:textAlignment w:val="auto"/>
        <w:rPr>
          <w:b/>
          <w:b/>
          <w:bCs/>
        </w:rPr>
      </w:pPr>
      <w:r>
        <w:rPr>
          <w:b/>
          <w:bCs/>
        </w:rPr>
        <w:t xml:space="preserve">POUŽITÉ PODKLADY </w:t>
      </w:r>
    </w:p>
    <w:p>
      <w:pPr>
        <w:pStyle w:val="Normal"/>
        <w:spacing w:lineRule="atLeast" w:line="11" w:before="57" w:after="57"/>
        <w:rPr/>
      </w:pPr>
      <w:r>
        <w:rPr>
          <w:rFonts w:cs="Times New Roman" w:ascii="Times New Roman" w:hAnsi="Times New Roman"/>
          <w:sz w:val="24"/>
          <w:szCs w:val="24"/>
        </w:rPr>
        <w:t xml:space="preserve">a) </w:t>
      </w:r>
      <w:r>
        <w:rPr>
          <w:rFonts w:cs="Times New Roman" w:ascii="Times New Roman" w:hAnsi="Times New Roman"/>
          <w:sz w:val="24"/>
        </w:rPr>
        <w:t>projekty a požadavky projektanta ÚT a VZT</w:t>
      </w:r>
    </w:p>
    <w:p>
      <w:pPr>
        <w:pStyle w:val="Normal"/>
        <w:spacing w:lineRule="atLeast" w:line="11" w:before="57" w:after="57"/>
        <w:rPr>
          <w:rFonts w:ascii="Times New Roman" w:hAnsi="Times New Roman" w:cs="Times New Roman"/>
          <w:sz w:val="24"/>
        </w:rPr>
      </w:pPr>
      <w:r>
        <w:rPr>
          <w:rFonts w:cs="Times New Roman" w:ascii="Times New Roman" w:hAnsi="Times New Roman"/>
          <w:sz w:val="24"/>
        </w:rPr>
        <w:t>b) požadavky dodavatele vyvíječe páry</w:t>
      </w:r>
    </w:p>
    <w:p>
      <w:pPr>
        <w:pStyle w:val="Normal"/>
        <w:spacing w:lineRule="atLeast" w:line="11" w:before="57" w:after="57"/>
        <w:rPr/>
      </w:pPr>
      <w:r>
        <w:rPr>
          <w:rFonts w:cs="Times New Roman" w:ascii="Times New Roman" w:hAnsi="Times New Roman"/>
          <w:sz w:val="24"/>
          <w:szCs w:val="24"/>
        </w:rPr>
        <w:t xml:space="preserve">c) </w:t>
      </w:r>
      <w:r>
        <w:rPr>
          <w:rFonts w:cs="Times New Roman" w:ascii="Times New Roman" w:hAnsi="Times New Roman"/>
          <w:sz w:val="24"/>
        </w:rPr>
        <w:t>stavební podklady</w:t>
      </w:r>
    </w:p>
    <w:p>
      <w:pPr>
        <w:pStyle w:val="Normal"/>
        <w:spacing w:lineRule="atLeast" w:line="11" w:before="57" w:after="57"/>
        <w:rPr>
          <w:rFonts w:ascii="Times New Roman" w:hAnsi="Times New Roman" w:cs="Times New Roman"/>
          <w:sz w:val="24"/>
          <w:szCs w:val="24"/>
        </w:rPr>
      </w:pPr>
      <w:r>
        <w:rPr>
          <w:rFonts w:cs="Times New Roman" w:ascii="Times New Roman" w:hAnsi="Times New Roman"/>
          <w:sz w:val="24"/>
          <w:szCs w:val="24"/>
        </w:rPr>
        <w:t xml:space="preserve">d) příslušné normy a předpisy </w:t>
      </w:r>
    </w:p>
    <w:p>
      <w:pPr>
        <w:pStyle w:val="Nadpis1"/>
        <w:keepNext w:val="true"/>
        <w:widowControl/>
        <w:bidi w:val="0"/>
        <w:spacing w:before="170" w:after="113"/>
        <w:ind w:left="567" w:right="0" w:hanging="567"/>
        <w:jc w:val="both"/>
        <w:rPr/>
      </w:pPr>
      <w:bookmarkStart w:id="4" w:name="__RefHeading___Toc33_728729659"/>
      <w:bookmarkEnd w:id="4"/>
      <w:r>
        <w:rPr/>
        <w:t xml:space="preserve">požadavky na profesi - zadání, klimatické podmínky místa stavby - výpočtové parametry </w:t>
      </w:r>
    </w:p>
    <w:p>
      <w:pPr>
        <w:pStyle w:val="ListParagraph"/>
        <w:spacing w:lineRule="atLeast" w:line="11" w:before="57" w:after="57"/>
        <w:ind w:left="0" w:right="0" w:hanging="0"/>
        <w:rPr>
          <w:rFonts w:ascii="Times New Roman" w:hAnsi="Times New Roman"/>
          <w:sz w:val="24"/>
          <w:szCs w:val="24"/>
        </w:rPr>
      </w:pPr>
      <w:r>
        <w:rPr>
          <w:rFonts w:ascii="Times New Roman" w:hAnsi="Times New Roman"/>
          <w:sz w:val="24"/>
          <w:szCs w:val="24"/>
        </w:rPr>
        <w:t xml:space="preserve">Místo: </w:t>
        <w:tab/>
        <w:tab/>
        <w:tab/>
        <w:tab/>
        <w:tab/>
        <w:t>Semily</w:t>
      </w:r>
    </w:p>
    <w:p>
      <w:pPr>
        <w:pStyle w:val="ListParagraph"/>
        <w:spacing w:lineRule="atLeast" w:line="11" w:before="57" w:after="57"/>
        <w:ind w:left="0" w:right="0" w:hanging="0"/>
        <w:rPr>
          <w:rFonts w:ascii="Times New Roman" w:hAnsi="Times New Roman"/>
          <w:sz w:val="24"/>
          <w:szCs w:val="24"/>
        </w:rPr>
      </w:pPr>
      <w:r>
        <w:rPr>
          <w:rFonts w:ascii="Times New Roman" w:hAnsi="Times New Roman"/>
          <w:sz w:val="24"/>
          <w:szCs w:val="24"/>
        </w:rPr>
        <w:t>Nadmořská výška:</w:t>
        <w:tab/>
        <w:tab/>
        <w:tab/>
        <w:t xml:space="preserve">334 m </w:t>
      </w:r>
    </w:p>
    <w:p>
      <w:pPr>
        <w:pStyle w:val="ListParagraph"/>
        <w:spacing w:lineRule="atLeast" w:line="11" w:before="57" w:after="57"/>
        <w:ind w:left="0" w:right="0" w:hanging="0"/>
        <w:rPr>
          <w:rFonts w:ascii="Times New Roman" w:hAnsi="Times New Roman"/>
          <w:sz w:val="24"/>
          <w:szCs w:val="24"/>
        </w:rPr>
      </w:pPr>
      <w:r>
        <w:rPr>
          <w:rFonts w:ascii="Times New Roman" w:hAnsi="Times New Roman"/>
          <w:sz w:val="24"/>
          <w:szCs w:val="24"/>
        </w:rPr>
        <w:t>Počet otopných dnů:</w:t>
        <w:tab/>
        <w:tab/>
        <w:tab/>
        <w:t xml:space="preserve">254 </w:t>
      </w:r>
    </w:p>
    <w:p>
      <w:pPr>
        <w:pStyle w:val="ListParagraph"/>
        <w:spacing w:lineRule="atLeast" w:line="11" w:before="57" w:after="57"/>
        <w:ind w:left="0" w:right="0" w:hanging="0"/>
        <w:rPr>
          <w:rFonts w:ascii="Times New Roman" w:hAnsi="Times New Roman"/>
          <w:sz w:val="24"/>
          <w:szCs w:val="24"/>
        </w:rPr>
      </w:pPr>
      <w:r>
        <w:rPr>
          <w:rFonts w:ascii="Times New Roman" w:hAnsi="Times New Roman"/>
          <w:sz w:val="24"/>
          <w:szCs w:val="24"/>
        </w:rPr>
        <w:t xml:space="preserve">Výpočtová teplota: </w:t>
        <w:tab/>
        <w:tab/>
        <w:tab/>
        <w:t xml:space="preserve">léto </w:t>
        <w:tab/>
        <w:t>+30°C</w:t>
      </w:r>
    </w:p>
    <w:p>
      <w:pPr>
        <w:pStyle w:val="ListParagraph"/>
        <w:spacing w:lineRule="atLeast" w:line="11" w:before="0" w:after="57"/>
        <w:ind w:left="0" w:right="0" w:hanging="0"/>
        <w:jc w:val="both"/>
        <w:rPr>
          <w:rFonts w:ascii="Times New Roman" w:hAnsi="Times New Roman" w:cs="Times New Roman"/>
          <w:sz w:val="24"/>
          <w:szCs w:val="24"/>
        </w:rPr>
      </w:pPr>
      <w:r>
        <w:rPr>
          <w:rFonts w:cs="Times New Roman" w:ascii="Times New Roman" w:hAnsi="Times New Roman"/>
          <w:sz w:val="24"/>
          <w:szCs w:val="24"/>
        </w:rPr>
        <w:tab/>
        <w:tab/>
        <w:tab/>
        <w:tab/>
        <w:tab/>
        <w:t>Zima</w:t>
        <w:tab/>
        <w:t>-18°C</w:t>
      </w:r>
    </w:p>
    <w:p>
      <w:pPr>
        <w:pStyle w:val="Tlotextu"/>
        <w:spacing w:lineRule="atLeast" w:line="11" w:before="113" w:after="57"/>
        <w:rPr>
          <w:rFonts w:ascii="Times New Roman" w:hAnsi="Times New Roman"/>
          <w:b/>
          <w:b/>
          <w:bCs/>
          <w:sz w:val="24"/>
          <w:szCs w:val="24"/>
        </w:rPr>
      </w:pPr>
      <w:r>
        <w:rPr>
          <w:rFonts w:ascii="Times New Roman" w:hAnsi="Times New Roman"/>
          <w:b/>
          <w:bCs/>
          <w:sz w:val="24"/>
          <w:szCs w:val="24"/>
        </w:rPr>
        <w:t>Navržené strojní řešení:</w:t>
      </w:r>
    </w:p>
    <w:p>
      <w:pPr>
        <w:pStyle w:val="ListParagraph"/>
        <w:spacing w:lineRule="atLeast" w:line="0" w:before="57" w:after="57"/>
        <w:ind w:left="0" w:right="0" w:hanging="0"/>
        <w:jc w:val="both"/>
        <w:rPr>
          <w:rFonts w:ascii="Times New Roman" w:hAnsi="Times New Roman"/>
          <w:sz w:val="24"/>
          <w:szCs w:val="24"/>
        </w:rPr>
      </w:pPr>
      <w:r>
        <w:rPr>
          <w:rFonts w:ascii="Times New Roman" w:hAnsi="Times New Roman"/>
          <w:sz w:val="24"/>
          <w:szCs w:val="24"/>
        </w:rPr>
        <w:t>V současnosti je stávající technologie prádelny nevyužívána a původní dodávka páry pro tuto technologií z parní kotelny je zrušena.</w:t>
      </w:r>
    </w:p>
    <w:p>
      <w:pPr>
        <w:pStyle w:val="ListParagraph"/>
        <w:spacing w:lineRule="atLeast" w:line="0" w:before="57" w:after="57"/>
        <w:ind w:left="0" w:right="0" w:hanging="0"/>
        <w:jc w:val="both"/>
        <w:rPr>
          <w:rFonts w:ascii="Times New Roman" w:hAnsi="Times New Roman"/>
          <w:sz w:val="24"/>
          <w:szCs w:val="24"/>
        </w:rPr>
      </w:pPr>
      <w:r>
        <w:rPr>
          <w:rFonts w:ascii="Times New Roman" w:hAnsi="Times New Roman"/>
          <w:sz w:val="24"/>
          <w:szCs w:val="24"/>
        </w:rPr>
        <w:t xml:space="preserve">Stávající prostory jsou vytápěny částečně vzduchotechnikou a částečně otopnými tělesy. </w:t>
      </w:r>
    </w:p>
    <w:p>
      <w:pPr>
        <w:pStyle w:val="ListParagraph"/>
        <w:spacing w:lineRule="atLeast" w:line="0" w:before="57" w:after="57"/>
        <w:ind w:left="0" w:right="0" w:hanging="0"/>
        <w:jc w:val="both"/>
        <w:rPr>
          <w:rFonts w:ascii="Times New Roman" w:hAnsi="Times New Roman"/>
          <w:sz w:val="24"/>
          <w:szCs w:val="24"/>
        </w:rPr>
      </w:pPr>
      <w:r>
        <w:rPr>
          <w:rFonts w:ascii="Times New Roman" w:hAnsi="Times New Roman"/>
          <w:sz w:val="24"/>
          <w:szCs w:val="24"/>
        </w:rPr>
        <w:t>S instalací nové technologie prádelny je požadavek na instalaci nové technologie výroby páry – parní vyvíječ o celkovém výkonu 700 kg/hod.</w:t>
      </w:r>
    </w:p>
    <w:p>
      <w:pPr>
        <w:pStyle w:val="ListParagraph"/>
        <w:spacing w:lineRule="atLeast" w:line="0" w:before="57" w:after="57"/>
        <w:ind w:left="0" w:right="0" w:hanging="0"/>
        <w:jc w:val="both"/>
        <w:rPr>
          <w:rFonts w:ascii="Times New Roman" w:hAnsi="Times New Roman" w:cs="Times New Roman"/>
          <w:sz w:val="24"/>
          <w:szCs w:val="24"/>
        </w:rPr>
      </w:pPr>
      <w:r>
        <w:rPr>
          <w:rFonts w:cs="Times New Roman" w:ascii="Times New Roman" w:hAnsi="Times New Roman"/>
          <w:sz w:val="24"/>
          <w:szCs w:val="24"/>
        </w:rPr>
        <w:t xml:space="preserve">Provoz prádelny bude jednosměnný, v době od 6 hod. do 16 hod. </w:t>
      </w:r>
    </w:p>
    <w:p>
      <w:pPr>
        <w:pStyle w:val="Tlotextu"/>
        <w:spacing w:lineRule="atLeast" w:line="11" w:before="113" w:after="57"/>
        <w:rPr>
          <w:rFonts w:ascii="Times New Roman" w:hAnsi="Times New Roman"/>
          <w:b/>
          <w:b/>
          <w:bCs/>
          <w:sz w:val="24"/>
          <w:szCs w:val="24"/>
        </w:rPr>
      </w:pPr>
      <w:bookmarkStart w:id="5" w:name="__RefHeading___Toc1099_2687883190"/>
      <w:bookmarkStart w:id="6" w:name="_Toc49749241"/>
      <w:bookmarkEnd w:id="5"/>
      <w:r>
        <w:rPr>
          <w:rFonts w:ascii="Times New Roman" w:hAnsi="Times New Roman"/>
          <w:b/>
          <w:bCs/>
          <w:sz w:val="24"/>
          <w:szCs w:val="24"/>
        </w:rPr>
        <w:t>Popis stávajícího stavu</w:t>
      </w:r>
      <w:bookmarkEnd w:id="6"/>
    </w:p>
    <w:p>
      <w:pPr>
        <w:pStyle w:val="ListParagraph"/>
        <w:spacing w:lineRule="atLeast" w:line="0" w:before="57" w:after="57"/>
        <w:ind w:left="0" w:right="0" w:hanging="0"/>
        <w:jc w:val="both"/>
        <w:rPr>
          <w:rFonts w:ascii="Times New Roman" w:hAnsi="Times New Roman"/>
          <w:sz w:val="24"/>
          <w:szCs w:val="24"/>
        </w:rPr>
      </w:pPr>
      <w:r>
        <w:rPr>
          <w:rFonts w:ascii="Times New Roman" w:hAnsi="Times New Roman"/>
          <w:sz w:val="24"/>
          <w:szCs w:val="24"/>
        </w:rPr>
        <w:t>Stávajícím zdrojem středotlaké páry o přetlaku 0,8 MPa byla parní kotelna umístěn</w:t>
      </w:r>
      <w:r>
        <w:rPr>
          <w:rFonts w:ascii="Times New Roman" w:hAnsi="Times New Roman"/>
          <w:sz w:val="24"/>
          <w:szCs w:val="24"/>
        </w:rPr>
        <w:t>á</w:t>
      </w:r>
      <w:r>
        <w:rPr>
          <w:rFonts w:ascii="Times New Roman" w:hAnsi="Times New Roman"/>
          <w:sz w:val="24"/>
          <w:szCs w:val="24"/>
        </w:rPr>
        <w:t xml:space="preserve"> v hlavní budově. Rozvody páry byl přiveden do strojovny ÚT, místnost č.122, v prostorech prádelny, z které byl</w:t>
      </w:r>
      <w:r>
        <w:rPr>
          <w:rFonts w:ascii="Times New Roman" w:hAnsi="Times New Roman"/>
          <w:sz w:val="24"/>
          <w:szCs w:val="24"/>
        </w:rPr>
        <w:t>i</w:t>
      </w:r>
      <w:r>
        <w:rPr>
          <w:rFonts w:ascii="Times New Roman" w:hAnsi="Times New Roman"/>
          <w:sz w:val="24"/>
          <w:szCs w:val="24"/>
        </w:rPr>
        <w:t xml:space="preserve"> napojeny jednotlivé spotřebiče. Odvod kondenzátu byl zpět potrubím do hlavní budovy, kde je umístěna sběrná nádrž kondenzátu. Realizace provedena dle dokumentace fy.HELIKA, a.s., pod č.2001/01-609.</w:t>
      </w:r>
    </w:p>
    <w:p>
      <w:pPr>
        <w:pStyle w:val="Tlotextu"/>
        <w:spacing w:lineRule="atLeast" w:line="11" w:before="113" w:after="57"/>
        <w:rPr>
          <w:rFonts w:ascii="Times New Roman" w:hAnsi="Times New Roman"/>
          <w:b/>
          <w:b/>
          <w:bCs/>
          <w:sz w:val="24"/>
          <w:szCs w:val="24"/>
        </w:rPr>
      </w:pPr>
      <w:bookmarkStart w:id="7" w:name="__RefHeading___Toc1101_2687883190"/>
      <w:bookmarkStart w:id="8" w:name="_Toc49749242"/>
      <w:bookmarkEnd w:id="7"/>
      <w:r>
        <w:rPr>
          <w:rFonts w:ascii="Times New Roman" w:hAnsi="Times New Roman"/>
          <w:b/>
          <w:bCs/>
          <w:sz w:val="24"/>
          <w:szCs w:val="24"/>
        </w:rPr>
        <w:t>Stávající technologie</w:t>
      </w:r>
      <w:bookmarkEnd w:id="8"/>
    </w:p>
    <w:p>
      <w:pPr>
        <w:pStyle w:val="Normal"/>
        <w:spacing w:lineRule="atLeast" w:line="0" w:before="57" w:after="57"/>
        <w:jc w:val="both"/>
        <w:rPr>
          <w:rFonts w:ascii="Times New Roman" w:hAnsi="Times New Roman"/>
          <w:sz w:val="24"/>
          <w:szCs w:val="24"/>
        </w:rPr>
      </w:pPr>
      <w:r>
        <w:rPr>
          <w:rFonts w:ascii="Times New Roman" w:hAnsi="Times New Roman"/>
          <w:sz w:val="24"/>
          <w:szCs w:val="24"/>
        </w:rPr>
        <w:t>Stávající technologie prádelny je instalována dle projektové dokumentace vypracované fy.HELIKA, a.s., pod č.2001/01-609. Technologie je zastaralá a součastně nevyužívaná. Některé zařízení bylo již demontováno.</w:t>
      </w:r>
    </w:p>
    <w:p>
      <w:pPr>
        <w:pStyle w:val="Tlotextu"/>
        <w:spacing w:lineRule="atLeast" w:line="11" w:before="113" w:after="57"/>
        <w:rPr>
          <w:rFonts w:ascii="Times New Roman" w:hAnsi="Times New Roman"/>
          <w:b/>
          <w:b/>
          <w:bCs/>
          <w:sz w:val="24"/>
          <w:szCs w:val="24"/>
        </w:rPr>
      </w:pPr>
      <w:bookmarkStart w:id="9" w:name="__RefHeading___Toc1103_2687883190"/>
      <w:bookmarkStart w:id="10" w:name="_Toc49749243"/>
      <w:bookmarkEnd w:id="9"/>
      <w:r>
        <w:rPr>
          <w:rFonts w:ascii="Times New Roman" w:hAnsi="Times New Roman"/>
          <w:b/>
          <w:bCs/>
          <w:sz w:val="24"/>
          <w:szCs w:val="24"/>
        </w:rPr>
        <w:t>Stávající vzduchotechnika</w:t>
      </w:r>
      <w:bookmarkEnd w:id="10"/>
    </w:p>
    <w:p>
      <w:pPr>
        <w:pStyle w:val="Normal"/>
        <w:spacing w:lineRule="atLeast" w:line="0" w:before="57" w:after="57"/>
        <w:jc w:val="both"/>
        <w:rPr>
          <w:rFonts w:ascii="Times New Roman" w:hAnsi="Times New Roman"/>
          <w:sz w:val="24"/>
          <w:szCs w:val="24"/>
        </w:rPr>
      </w:pPr>
      <w:r>
        <w:rPr>
          <w:rFonts w:ascii="Times New Roman" w:hAnsi="Times New Roman"/>
          <w:sz w:val="24"/>
          <w:szCs w:val="24"/>
        </w:rPr>
        <w:t>Stávající technologie prádelny je instalována dle projektové dokumentace vypracované fy.HELIKA, a.s., pod č.2001/01-607. V místnosti č.124 je umístěna VZT jednotka pro odtah vzduchu z prostor. V místnosti č.112 je umístěna VZT jednotka pro přívod vzduchu, který je dle potřeby přihříván. V současnosti není využívána z důvodu odstavení technologie prádelny.</w:t>
      </w:r>
    </w:p>
    <w:p>
      <w:pPr>
        <w:pStyle w:val="Tlotextu"/>
        <w:spacing w:lineRule="atLeast" w:line="11" w:before="113" w:after="57"/>
        <w:rPr>
          <w:rFonts w:ascii="Times New Roman" w:hAnsi="Times New Roman"/>
          <w:b/>
          <w:b/>
          <w:bCs/>
          <w:sz w:val="24"/>
          <w:szCs w:val="24"/>
        </w:rPr>
      </w:pPr>
      <w:bookmarkStart w:id="11" w:name="__RefHeading___Toc1105_2687883190"/>
      <w:bookmarkStart w:id="12" w:name="_Toc49749244"/>
      <w:bookmarkEnd w:id="11"/>
      <w:r>
        <w:rPr>
          <w:rFonts w:ascii="Times New Roman" w:hAnsi="Times New Roman"/>
          <w:b/>
          <w:bCs/>
          <w:sz w:val="24"/>
          <w:szCs w:val="24"/>
        </w:rPr>
        <w:t>Vytápění</w:t>
      </w:r>
      <w:bookmarkEnd w:id="12"/>
    </w:p>
    <w:p>
      <w:pPr>
        <w:pStyle w:val="Normal"/>
        <w:spacing w:lineRule="atLeast" w:line="0" w:before="57" w:after="57"/>
        <w:jc w:val="both"/>
        <w:rPr>
          <w:rFonts w:ascii="Times New Roman" w:hAnsi="Times New Roman"/>
          <w:sz w:val="24"/>
          <w:szCs w:val="24"/>
        </w:rPr>
      </w:pPr>
      <w:r>
        <w:rPr>
          <w:rFonts w:ascii="Times New Roman" w:hAnsi="Times New Roman"/>
          <w:sz w:val="24"/>
          <w:szCs w:val="24"/>
        </w:rPr>
        <w:t xml:space="preserve">Stávající technologie vytápění je  instalována dle projektové dokumentace vypracované fy.HELIKA, a.s., pod č.2001/01-609. Vytápění je napojeno potrubím DN100 na rozdělovač a sběrač umístěný v chirurgickém pavilonu. V místnosti č.122 je umístěna strojovna ÚT. V ní je umístěný rozdělovač a sběrač pro vytápění VZT jednotky umístěné v místnosti č.112 a větve pro otopná tělesa JIH a SEVER. Otopné tělesa v prostorech prádelny jsou desková. </w:t>
      </w:r>
    </w:p>
    <w:p>
      <w:pPr>
        <w:pStyle w:val="Tlotextu"/>
        <w:spacing w:lineRule="atLeast" w:line="11" w:before="113" w:after="57"/>
        <w:rPr>
          <w:rFonts w:ascii="Times New Roman" w:hAnsi="Times New Roman"/>
          <w:b/>
          <w:b/>
          <w:bCs/>
          <w:sz w:val="24"/>
          <w:szCs w:val="24"/>
        </w:rPr>
      </w:pPr>
      <w:bookmarkStart w:id="13" w:name="_Toc49749245"/>
      <w:r>
        <w:rPr>
          <w:rFonts w:ascii="Times New Roman" w:hAnsi="Times New Roman"/>
          <w:b/>
          <w:bCs/>
          <w:sz w:val="24"/>
          <w:szCs w:val="24"/>
        </w:rPr>
        <w:t>MaR</w:t>
      </w:r>
      <w:bookmarkEnd w:id="13"/>
    </w:p>
    <w:p>
      <w:pPr>
        <w:pStyle w:val="Normal"/>
        <w:spacing w:lineRule="atLeast" w:line="0" w:before="57" w:after="57"/>
        <w:ind w:left="0" w:right="0" w:hanging="0"/>
        <w:jc w:val="both"/>
        <w:rPr>
          <w:rFonts w:ascii="Times New Roman" w:hAnsi="Times New Roman" w:cs="Times New Roman"/>
          <w:sz w:val="24"/>
          <w:szCs w:val="24"/>
        </w:rPr>
      </w:pPr>
      <w:r>
        <w:rPr>
          <w:rFonts w:cs="Times New Roman" w:ascii="Times New Roman" w:hAnsi="Times New Roman"/>
          <w:sz w:val="24"/>
          <w:szCs w:val="24"/>
        </w:rPr>
        <w:t xml:space="preserve">V místnosti strojovny ÚT, místnost č.122, je umístěn rozvaděč BI, který řídil strojovnu vytápění a redukci páry pro kuchyň a pro prádelnu v hospodářském pavilonu. Projekt vypracoval Siemens Building Technologies s.r.o., zak.č.3777, datum 10/2000.  </w:t>
      </w:r>
    </w:p>
    <w:p>
      <w:pPr>
        <w:pStyle w:val="Tlotextu"/>
        <w:spacing w:lineRule="atLeast" w:line="11" w:before="113" w:after="57"/>
        <w:rPr>
          <w:rFonts w:ascii="Times New Roman" w:hAnsi="Times New Roman"/>
          <w:b/>
          <w:b/>
          <w:bCs/>
          <w:sz w:val="24"/>
          <w:szCs w:val="24"/>
        </w:rPr>
      </w:pPr>
      <w:r>
        <w:rPr>
          <w:rFonts w:ascii="Times New Roman" w:hAnsi="Times New Roman"/>
          <w:b/>
          <w:bCs/>
          <w:sz w:val="24"/>
          <w:szCs w:val="24"/>
        </w:rPr>
        <w:t>Nový stav</w:t>
      </w:r>
    </w:p>
    <w:p>
      <w:pPr>
        <w:pStyle w:val="Normal"/>
        <w:spacing w:lineRule="atLeast" w:line="0" w:before="57" w:after="57"/>
        <w:ind w:left="0" w:right="0" w:hanging="0"/>
        <w:jc w:val="both"/>
        <w:rPr>
          <w:rFonts w:ascii="Times New Roman" w:hAnsi="Times New Roman"/>
          <w:sz w:val="24"/>
          <w:szCs w:val="24"/>
        </w:rPr>
      </w:pPr>
      <w:r>
        <w:rPr>
          <w:rFonts w:ascii="Times New Roman" w:hAnsi="Times New Roman"/>
          <w:sz w:val="24"/>
          <w:szCs w:val="24"/>
        </w:rPr>
        <w:t>V rámci instalace nové technologie prádelny bude provedeno odpojení od stávajícího parního rozvodu. Z důvodu odpojení bude pro přívod páry v objektu instalován nový vyvíječ páry o kapacitě 700 kg páry/hod.</w:t>
      </w:r>
    </w:p>
    <w:p>
      <w:pPr>
        <w:pStyle w:val="Normal"/>
        <w:spacing w:lineRule="atLeast" w:line="0" w:before="57" w:after="57"/>
        <w:ind w:left="0" w:right="0" w:hanging="0"/>
        <w:jc w:val="both"/>
        <w:rPr>
          <w:rFonts w:ascii="Times New Roman" w:hAnsi="Times New Roman"/>
          <w:sz w:val="24"/>
          <w:szCs w:val="24"/>
        </w:rPr>
      </w:pPr>
      <w:r>
        <w:rPr>
          <w:rFonts w:ascii="Times New Roman" w:hAnsi="Times New Roman"/>
          <w:sz w:val="24"/>
          <w:szCs w:val="24"/>
        </w:rPr>
        <w:t>Instalovaná technologie pracuje ve dvou tlakových pásmech, tj.:</w:t>
      </w:r>
    </w:p>
    <w:p>
      <w:pPr>
        <w:pStyle w:val="ListParagraph"/>
        <w:numPr>
          <w:ilvl w:val="0"/>
          <w:numId w:val="2"/>
        </w:numPr>
        <w:spacing w:lineRule="atLeast" w:line="0" w:before="57" w:after="0"/>
        <w:ind w:left="0" w:right="0" w:hanging="0"/>
        <w:jc w:val="both"/>
        <w:rPr>
          <w:rFonts w:ascii="Times New Roman" w:hAnsi="Times New Roman"/>
          <w:sz w:val="24"/>
          <w:szCs w:val="24"/>
        </w:rPr>
      </w:pPr>
      <w:r>
        <w:rPr>
          <w:rFonts w:ascii="Times New Roman" w:hAnsi="Times New Roman"/>
          <w:sz w:val="24"/>
          <w:szCs w:val="24"/>
        </w:rPr>
        <w:t>první tlakové pásmo - provozní přetlak do 1,2Mpa</w:t>
        <w:tab/>
        <w:tab/>
        <w:t>- 275 kg/hod</w:t>
      </w:r>
    </w:p>
    <w:p>
      <w:pPr>
        <w:pStyle w:val="ListParagraph"/>
        <w:numPr>
          <w:ilvl w:val="0"/>
          <w:numId w:val="2"/>
        </w:numPr>
        <w:spacing w:lineRule="atLeast" w:line="0" w:before="57" w:after="0"/>
        <w:ind w:left="0" w:right="0" w:hanging="0"/>
        <w:jc w:val="both"/>
        <w:rPr>
          <w:rFonts w:ascii="Times New Roman" w:hAnsi="Times New Roman"/>
          <w:sz w:val="24"/>
          <w:szCs w:val="24"/>
        </w:rPr>
      </w:pPr>
      <w:r>
        <w:rPr>
          <w:rFonts w:ascii="Times New Roman" w:hAnsi="Times New Roman"/>
          <w:sz w:val="24"/>
          <w:szCs w:val="24"/>
        </w:rPr>
        <w:t>druhé tlakové pásmo - provozní přetlak do 0,8Mpa</w:t>
        <w:tab/>
        <w:tab/>
        <w:t>- 292 kg/hod</w:t>
      </w:r>
    </w:p>
    <w:p>
      <w:pPr>
        <w:pStyle w:val="Normal"/>
        <w:spacing w:lineRule="atLeast" w:line="0" w:before="57" w:after="57"/>
        <w:ind w:left="0" w:right="0" w:hanging="0"/>
        <w:jc w:val="both"/>
        <w:rPr>
          <w:rFonts w:ascii="Times New Roman" w:hAnsi="Times New Roman"/>
          <w:sz w:val="24"/>
          <w:szCs w:val="24"/>
        </w:rPr>
      </w:pPr>
      <w:r>
        <w:rPr>
          <w:rFonts w:ascii="Times New Roman" w:hAnsi="Times New Roman"/>
          <w:sz w:val="24"/>
          <w:szCs w:val="24"/>
        </w:rPr>
        <w:t xml:space="preserve">Výstup středotlaké páry z vyvíječe páry bude o provozním přetlaku 1,2Mpa, který bude zaveden do parního rozdělovače PR1. Z parního rozdělovače PR1 budou vyvedeny dvě potrubní větve k jednotlivým technologickým zařízením prádelny. </w:t>
      </w:r>
    </w:p>
    <w:p>
      <w:pPr>
        <w:pStyle w:val="Normal"/>
        <w:spacing w:lineRule="atLeast" w:line="0" w:before="57" w:after="57"/>
        <w:ind w:left="0" w:right="0" w:hanging="0"/>
        <w:jc w:val="both"/>
        <w:rPr>
          <w:rFonts w:ascii="Times New Roman" w:hAnsi="Times New Roman"/>
          <w:sz w:val="24"/>
          <w:szCs w:val="24"/>
        </w:rPr>
      </w:pPr>
      <w:r>
        <w:rPr>
          <w:rFonts w:ascii="Times New Roman" w:hAnsi="Times New Roman"/>
          <w:sz w:val="24"/>
          <w:szCs w:val="24"/>
        </w:rPr>
        <w:t>Potrubí k technologickým zařízení o pracovním přetlaku 1,2Mpa bude za odbočkou z rozdělovačem PR1 napojena na potrubní rozvod, který přivádí páru o potřebném přetlaku k technologickým spotřebičům v prádelně</w:t>
      </w:r>
    </w:p>
    <w:p>
      <w:pPr>
        <w:pStyle w:val="Normal"/>
        <w:spacing w:lineRule="atLeast" w:line="0" w:before="57" w:after="57"/>
        <w:ind w:left="0" w:right="0" w:hanging="0"/>
        <w:jc w:val="both"/>
        <w:rPr/>
      </w:pPr>
      <w:r>
        <w:rPr>
          <w:rFonts w:ascii="Times New Roman" w:hAnsi="Times New Roman"/>
          <w:sz w:val="24"/>
          <w:szCs w:val="24"/>
        </w:rPr>
        <w:t>Potrubí k technologickým zařízení o pracovním přetlaku 0,8Mpa bude za odbočkou z rozdělovačem PR1 redukováno redukční ventilem z 1,2MPa na 0,8MPa. Redukovaná pára bude napojena na potrubní rozvod, který přivádí páru o potřebném přetlaku k technologickým spotřebičům v prádelně.</w:t>
      </w:r>
    </w:p>
    <w:p>
      <w:pPr>
        <w:pStyle w:val="Normal"/>
        <w:spacing w:lineRule="atLeast" w:line="0" w:before="57" w:after="57"/>
        <w:ind w:left="0" w:right="0" w:hanging="0"/>
        <w:jc w:val="both"/>
        <w:rPr>
          <w:rFonts w:ascii="Times New Roman" w:hAnsi="Times New Roman"/>
          <w:sz w:val="24"/>
          <w:szCs w:val="24"/>
        </w:rPr>
      </w:pPr>
      <w:r>
        <w:rPr>
          <w:rFonts w:ascii="Times New Roman" w:hAnsi="Times New Roman"/>
          <w:sz w:val="24"/>
          <w:szCs w:val="24"/>
        </w:rPr>
        <w:t xml:space="preserve">Jednotlivé kondenzáty budou svedeny do </w:t>
      </w:r>
      <w:r>
        <w:rPr>
          <w:rFonts w:ascii="Times New Roman" w:hAnsi="Times New Roman"/>
          <w:sz w:val="24"/>
          <w:szCs w:val="24"/>
        </w:rPr>
        <w:t>n</w:t>
      </w:r>
      <w:r>
        <w:rPr>
          <w:rFonts w:ascii="Times New Roman" w:hAnsi="Times New Roman"/>
          <w:sz w:val="24"/>
          <w:szCs w:val="24"/>
        </w:rPr>
        <w:t>ádrže kondenzátu, kde dojde k jejich uvolnění tlaku (expanzi). Odvětrání z </w:t>
      </w:r>
      <w:r>
        <w:rPr>
          <w:rFonts w:ascii="Times New Roman" w:hAnsi="Times New Roman"/>
          <w:sz w:val="24"/>
          <w:szCs w:val="24"/>
        </w:rPr>
        <w:t>n</w:t>
      </w:r>
      <w:r>
        <w:rPr>
          <w:rFonts w:ascii="Times New Roman" w:hAnsi="Times New Roman"/>
          <w:sz w:val="24"/>
          <w:szCs w:val="24"/>
        </w:rPr>
        <w:t xml:space="preserve">ádrže kondenzátu, odfuky od pojistných ventilů a technologických zařízení budou svedeny nad střechu objektu. </w:t>
      </w:r>
    </w:p>
    <w:p>
      <w:pPr>
        <w:pStyle w:val="Normal"/>
        <w:spacing w:lineRule="atLeast" w:line="0" w:before="57" w:after="57"/>
        <w:ind w:left="0" w:right="0" w:hanging="0"/>
        <w:jc w:val="both"/>
        <w:rPr>
          <w:rFonts w:ascii="Times New Roman" w:hAnsi="Times New Roman"/>
          <w:sz w:val="24"/>
          <w:szCs w:val="24"/>
        </w:rPr>
      </w:pPr>
      <w:r>
        <w:rPr>
          <w:rFonts w:ascii="Times New Roman" w:hAnsi="Times New Roman"/>
          <w:sz w:val="24"/>
          <w:szCs w:val="24"/>
        </w:rPr>
        <w:t>Vratný kondenzát z technologických zařízení bude z jednotlivých zařízení odveden k dalšímu využití kondenzátním potrubí,</w:t>
      </w:r>
      <w:r>
        <w:rPr>
          <w:rFonts w:ascii="Times New Roman" w:hAnsi="Times New Roman"/>
          <w:sz w:val="24"/>
          <w:szCs w:val="24"/>
        </w:rPr>
        <w:t>m</w:t>
      </w:r>
      <w:r>
        <w:rPr>
          <w:rFonts w:ascii="Times New Roman" w:hAnsi="Times New Roman"/>
          <w:sz w:val="24"/>
          <w:szCs w:val="24"/>
        </w:rPr>
        <w:t xml:space="preserve"> kde bude jímán do </w:t>
      </w:r>
      <w:r>
        <w:rPr>
          <w:rFonts w:ascii="Times New Roman" w:hAnsi="Times New Roman"/>
          <w:sz w:val="24"/>
          <w:szCs w:val="24"/>
        </w:rPr>
        <w:t>n</w:t>
      </w:r>
      <w:r>
        <w:rPr>
          <w:rFonts w:ascii="Times New Roman" w:hAnsi="Times New Roman"/>
          <w:sz w:val="24"/>
          <w:szCs w:val="24"/>
        </w:rPr>
        <w:t>ádrže kondenzátu, kam bude rovněž přivedena napájecí voda, která bude sloužit k vychlazení vratného kondenzátu. Z </w:t>
      </w:r>
      <w:r>
        <w:rPr>
          <w:rFonts w:ascii="Times New Roman" w:hAnsi="Times New Roman"/>
          <w:sz w:val="24"/>
          <w:szCs w:val="24"/>
        </w:rPr>
        <w:t>m</w:t>
      </w:r>
      <w:r>
        <w:rPr>
          <w:rFonts w:ascii="Times New Roman" w:hAnsi="Times New Roman"/>
          <w:sz w:val="24"/>
          <w:szCs w:val="24"/>
        </w:rPr>
        <w:t xml:space="preserve">ádrže kondenzátu bude kondenzát přečerpáván do </w:t>
      </w:r>
      <w:r>
        <w:rPr>
          <w:rFonts w:ascii="Times New Roman" w:hAnsi="Times New Roman"/>
          <w:sz w:val="24"/>
          <w:szCs w:val="24"/>
        </w:rPr>
        <w:t>n</w:t>
      </w:r>
      <w:r>
        <w:rPr>
          <w:rFonts w:ascii="Times New Roman" w:hAnsi="Times New Roman"/>
          <w:sz w:val="24"/>
          <w:szCs w:val="24"/>
        </w:rPr>
        <w:t>apájecí nádrže k dalšímu využití a napájení vyvíječe páry.</w:t>
      </w:r>
    </w:p>
    <w:p>
      <w:pPr>
        <w:pStyle w:val="Normal"/>
        <w:spacing w:lineRule="atLeast" w:line="0" w:before="57" w:after="57"/>
        <w:ind w:left="0" w:right="0" w:hanging="0"/>
        <w:jc w:val="both"/>
        <w:rPr>
          <w:rFonts w:ascii="Times New Roman" w:hAnsi="Times New Roman"/>
          <w:sz w:val="24"/>
          <w:szCs w:val="24"/>
        </w:rPr>
      </w:pPr>
      <w:r>
        <w:rPr>
          <w:rFonts w:ascii="Times New Roman" w:hAnsi="Times New Roman"/>
          <w:sz w:val="24"/>
          <w:szCs w:val="24"/>
        </w:rPr>
        <w:t>V rámci úprav v hospodářském pavilónu bude přívod napájecí vody zajištěn ze stávajícího rozvodu. Zároveň bude instalována úpravna vody – CHÚV, společně s </w:t>
      </w:r>
      <w:r>
        <w:rPr>
          <w:rFonts w:ascii="Times New Roman" w:hAnsi="Times New Roman"/>
          <w:sz w:val="24"/>
          <w:szCs w:val="24"/>
        </w:rPr>
        <w:t>n</w:t>
      </w:r>
      <w:r>
        <w:rPr>
          <w:rFonts w:ascii="Times New Roman" w:hAnsi="Times New Roman"/>
          <w:sz w:val="24"/>
          <w:szCs w:val="24"/>
        </w:rPr>
        <w:t>apájecí nádrží (CERTUSS Universal TC - Napájecí komplet CVE).</w:t>
      </w:r>
    </w:p>
    <w:p>
      <w:pPr>
        <w:pStyle w:val="Normal"/>
        <w:spacing w:lineRule="atLeast" w:line="0" w:before="57" w:after="57"/>
        <w:ind w:left="0" w:right="0" w:hanging="0"/>
        <w:jc w:val="both"/>
        <w:rPr>
          <w:rFonts w:ascii="Times New Roman" w:hAnsi="Times New Roman" w:cs="Times New Roman"/>
          <w:sz w:val="24"/>
          <w:szCs w:val="24"/>
        </w:rPr>
      </w:pPr>
      <w:r>
        <w:rPr>
          <w:rFonts w:cs="Times New Roman" w:ascii="Times New Roman" w:hAnsi="Times New Roman"/>
          <w:sz w:val="24"/>
          <w:szCs w:val="24"/>
        </w:rPr>
        <w:t>Jednotlivé technologické spotřebiče prádelny budou napojeny dle technologických podkladů dodavatele.</w:t>
      </w:r>
    </w:p>
    <w:p>
      <w:pPr>
        <w:pStyle w:val="Tlotextu"/>
        <w:spacing w:before="113" w:after="57"/>
        <w:rPr>
          <w:rFonts w:ascii="Times New Roman" w:hAnsi="Times New Roman"/>
          <w:b/>
          <w:b/>
          <w:bCs/>
          <w:sz w:val="24"/>
          <w:szCs w:val="24"/>
        </w:rPr>
      </w:pPr>
      <w:bookmarkStart w:id="14" w:name="__RefHeading___Toc1109_2687883190"/>
      <w:bookmarkStart w:id="15" w:name="_Toc49749249"/>
      <w:bookmarkEnd w:id="14"/>
      <w:r>
        <w:rPr>
          <w:rFonts w:ascii="Times New Roman" w:hAnsi="Times New Roman"/>
          <w:b/>
          <w:bCs/>
          <w:sz w:val="24"/>
          <w:szCs w:val="24"/>
        </w:rPr>
        <w:t>Návrh řešení – vytápění VZT a ÚT</w:t>
      </w:r>
      <w:bookmarkEnd w:id="15"/>
    </w:p>
    <w:p>
      <w:pPr>
        <w:pStyle w:val="Normal"/>
        <w:spacing w:lineRule="atLeast" w:line="0" w:before="57" w:after="57"/>
        <w:ind w:left="0" w:right="0" w:hanging="0"/>
        <w:jc w:val="both"/>
        <w:rPr>
          <w:rFonts w:ascii="Times New Roman" w:hAnsi="Times New Roman"/>
          <w:sz w:val="24"/>
          <w:szCs w:val="24"/>
        </w:rPr>
      </w:pPr>
      <w:r>
        <w:rPr>
          <w:rFonts w:ascii="Times New Roman" w:hAnsi="Times New Roman"/>
          <w:sz w:val="24"/>
          <w:szCs w:val="24"/>
        </w:rPr>
        <w:t xml:space="preserve">Ve stávající strojovně vytápění v hospodářském pavilonu bude zachována teplovodní přípojka DN100 z chirurgického pavilonu. Stávající rozdělovač a sběrač bude nahrazen sdruženým rozdělovačem a sběračem. Armatury a čerpadla budou nahrazeny novými. Napojení nového zařízení na stávající rozvody bude opět ve strojovně vytápění, místnost č.122. </w:t>
      </w:r>
    </w:p>
    <w:p>
      <w:pPr>
        <w:pStyle w:val="Normal"/>
        <w:spacing w:lineRule="atLeast" w:line="0" w:before="57" w:after="57"/>
        <w:ind w:left="0" w:right="0" w:hanging="0"/>
        <w:jc w:val="both"/>
        <w:rPr>
          <w:rFonts w:ascii="Times New Roman" w:hAnsi="Times New Roman" w:cs="Times New Roman"/>
          <w:sz w:val="24"/>
          <w:szCs w:val="24"/>
        </w:rPr>
      </w:pPr>
      <w:r>
        <w:rPr>
          <w:rFonts w:cs="Times New Roman" w:ascii="Times New Roman" w:hAnsi="Times New Roman"/>
          <w:sz w:val="24"/>
          <w:szCs w:val="24"/>
        </w:rPr>
        <w:t xml:space="preserve">Otopné tělesa v prostorech prádelny budou zachována, některá budou přemístěna. </w:t>
      </w:r>
    </w:p>
    <w:p>
      <w:pPr>
        <w:pStyle w:val="Normal"/>
        <w:spacing w:lineRule="atLeast" w:line="11" w:before="57" w:after="57"/>
        <w:ind w:left="0" w:right="0" w:hanging="0"/>
        <w:jc w:val="both"/>
        <w:rPr>
          <w:rFonts w:ascii="Times New Roman" w:hAnsi="Times New Roman"/>
          <w:b/>
          <w:b/>
          <w:sz w:val="24"/>
          <w:szCs w:val="24"/>
        </w:rPr>
      </w:pPr>
      <w:r>
        <w:rPr>
          <w:rFonts w:ascii="Times New Roman" w:hAnsi="Times New Roman"/>
          <w:b/>
          <w:sz w:val="24"/>
          <w:szCs w:val="24"/>
        </w:rPr>
        <w:t>Provoz plynové kotelny, napájení a řízení nové strojovny pro výrobu páry pro technologií prádelny je řešen samostatnou projektovou dokumentací D1.4.6 Měření a regulace.</w:t>
      </w:r>
    </w:p>
    <w:p>
      <w:pPr>
        <w:pStyle w:val="Normal"/>
        <w:spacing w:lineRule="atLeast" w:line="0" w:before="57" w:after="57"/>
        <w:ind w:left="0" w:right="0" w:hanging="0"/>
        <w:jc w:val="both"/>
        <w:rPr>
          <w:rFonts w:ascii="Times New Roman" w:hAnsi="Times New Roman"/>
          <w:sz w:val="24"/>
          <w:szCs w:val="24"/>
        </w:rPr>
      </w:pPr>
      <w:r>
        <w:rPr>
          <w:rFonts w:ascii="Times New Roman" w:hAnsi="Times New Roman"/>
          <w:sz w:val="24"/>
          <w:szCs w:val="24"/>
        </w:rPr>
        <w:t xml:space="preserve">Plynový spotřebič (vyvíječ páry) je v provedení s nuceným sáním "spalovacího vzduchu" přímo z místnosti (provedení B), přes neuzavíratelné otvory ve fasádě objektu. </w:t>
      </w:r>
    </w:p>
    <w:p>
      <w:pPr>
        <w:pStyle w:val="Normal"/>
        <w:spacing w:lineRule="atLeast" w:line="0" w:before="57" w:after="57"/>
        <w:ind w:left="0" w:right="0" w:hanging="0"/>
        <w:jc w:val="both"/>
        <w:rPr>
          <w:rFonts w:ascii="Times New Roman" w:hAnsi="Times New Roman"/>
          <w:sz w:val="24"/>
          <w:szCs w:val="24"/>
        </w:rPr>
      </w:pPr>
      <w:r>
        <w:rPr>
          <w:rFonts w:ascii="Times New Roman" w:hAnsi="Times New Roman"/>
          <w:sz w:val="24"/>
          <w:szCs w:val="24"/>
        </w:rPr>
        <w:t xml:space="preserve">"Provozní větrání" prostoru technické místnosti bude provedeno dle platných norem a předpisů TPG, požadovaná intenzita větrání je 0,5-2x/hod. Provětrání prostoru bude provedeno neuzavíratelným potrubím (315x315mm), zakončeným v místnosti krycí mřížkou a protidešťovou žaluzií na obvodové stěně. </w:t>
      </w:r>
    </w:p>
    <w:p>
      <w:pPr>
        <w:pStyle w:val="Normal"/>
        <w:spacing w:lineRule="atLeast" w:line="0" w:before="57" w:after="57"/>
        <w:ind w:left="0" w:right="0" w:hanging="0"/>
        <w:jc w:val="both"/>
        <w:rPr/>
      </w:pPr>
      <w:r>
        <w:rPr>
          <w:rFonts w:ascii="Times New Roman" w:hAnsi="Times New Roman"/>
          <w:b w:val="false"/>
          <w:bCs w:val="false"/>
          <w:sz w:val="24"/>
          <w:szCs w:val="24"/>
        </w:rPr>
        <w:t>Pro přívod „ochlazovacího vzduchu“ pro letní období je navržen 1x přívodní ventilátor (2.000m</w:t>
      </w:r>
      <w:r>
        <w:rPr>
          <w:rFonts w:ascii="Times New Roman" w:hAnsi="Times New Roman"/>
          <w:b w:val="false"/>
          <w:bCs w:val="false"/>
          <w:sz w:val="24"/>
          <w:szCs w:val="24"/>
          <w:vertAlign w:val="superscript"/>
        </w:rPr>
        <w:t>3</w:t>
      </w:r>
      <w:r>
        <w:rPr>
          <w:rFonts w:ascii="Times New Roman" w:hAnsi="Times New Roman"/>
          <w:b w:val="false"/>
          <w:bCs w:val="false"/>
          <w:sz w:val="24"/>
          <w:szCs w:val="24"/>
        </w:rPr>
        <w:t>/h) a vzt. potrubí (svedené k podlaze místnosti). Ve vzt. potrubí budou osazeny tlumiče hluku. Odvod vzduchu z místnosti bude přetlakem přes neuzavíratelný otvor a protidešťovou žaluzii ve fasádě. Ovládání chodu ventilátoru bude pomocí prostorového termostatu a zajistí jej profese MaR.</w:t>
      </w:r>
    </w:p>
    <w:p>
      <w:pPr>
        <w:pStyle w:val="Normal"/>
        <w:spacing w:lineRule="atLeast" w:line="0" w:before="57" w:after="57"/>
        <w:ind w:left="0" w:right="0" w:hanging="0"/>
        <w:jc w:val="both"/>
        <w:rPr>
          <w:rFonts w:ascii="Times New Roman" w:hAnsi="Times New Roman" w:cs="Arial"/>
          <w:b w:val="false"/>
          <w:b w:val="false"/>
          <w:bCs w:val="false"/>
          <w:sz w:val="24"/>
          <w:szCs w:val="24"/>
        </w:rPr>
      </w:pPr>
      <w:r>
        <w:rPr>
          <w:rFonts w:cs="Arial" w:ascii="Times New Roman" w:hAnsi="Times New Roman"/>
          <w:b w:val="false"/>
          <w:bCs w:val="false"/>
          <w:sz w:val="24"/>
          <w:szCs w:val="24"/>
        </w:rPr>
        <w:t xml:space="preserve">Pro stávající VZT 1.2  bude nově </w:t>
      </w:r>
      <w:r>
        <w:rPr>
          <w:rFonts w:cs="Arial" w:ascii="Times New Roman" w:hAnsi="Times New Roman"/>
          <w:b w:val="false"/>
          <w:bCs w:val="false"/>
          <w:sz w:val="24"/>
          <w:szCs w:val="24"/>
        </w:rPr>
        <w:t xml:space="preserve">provedena </w:t>
      </w:r>
      <w:r>
        <w:rPr>
          <w:rFonts w:cs="Arial" w:ascii="Times New Roman" w:hAnsi="Times New Roman"/>
          <w:b w:val="false"/>
          <w:bCs w:val="false"/>
          <w:sz w:val="24"/>
          <w:szCs w:val="24"/>
        </w:rPr>
        <w:t>protipožární izolace stávajících vzt potrubí vedených v prostoru s vyvíječem páry a lapolem a to až po strojovnu vzt, kde jsou osazeny 2ks stávajících protipožárních klapek.</w:t>
      </w:r>
    </w:p>
    <w:p>
      <w:pPr>
        <w:pStyle w:val="Tlotextu"/>
        <w:widowControl/>
        <w:suppressAutoHyphens w:val="true"/>
        <w:bidi w:val="0"/>
        <w:spacing w:before="113" w:after="57"/>
        <w:jc w:val="both"/>
        <w:rPr>
          <w:rFonts w:ascii="Times New Roman" w:hAnsi="Times New Roman" w:eastAsia="Times New Roman" w:cs="Times New Roman"/>
          <w:b/>
          <w:b/>
          <w:bCs/>
          <w:color w:val="auto"/>
          <w:kern w:val="0"/>
          <w:sz w:val="24"/>
          <w:szCs w:val="24"/>
          <w:lang w:val="cs-CZ" w:eastAsia="cs-CZ" w:bidi="ar-SA"/>
        </w:rPr>
      </w:pPr>
      <w:r>
        <w:rPr>
          <w:rFonts w:eastAsia="Times New Roman" w:cs="Times New Roman" w:ascii="Times New Roman" w:hAnsi="Times New Roman"/>
          <w:b/>
          <w:bCs/>
          <w:color w:val="auto"/>
          <w:kern w:val="0"/>
          <w:sz w:val="24"/>
          <w:szCs w:val="24"/>
          <w:lang w:val="cs-CZ" w:eastAsia="cs-CZ" w:bidi="ar-SA"/>
        </w:rPr>
        <w:t>Požadavky na MaR obsluha a zabezpečení:</w:t>
      </w:r>
    </w:p>
    <w:p>
      <w:pPr>
        <w:pStyle w:val="ListParagraph"/>
        <w:numPr>
          <w:ilvl w:val="0"/>
          <w:numId w:val="3"/>
        </w:numPr>
        <w:spacing w:lineRule="atLeast" w:line="11" w:before="57" w:after="0"/>
        <w:rPr>
          <w:rFonts w:ascii="Times New Roman" w:hAnsi="Times New Roman"/>
          <w:b w:val="false"/>
          <w:b w:val="false"/>
          <w:bCs w:val="false"/>
          <w:sz w:val="24"/>
          <w:szCs w:val="24"/>
        </w:rPr>
      </w:pPr>
      <w:r>
        <w:rPr>
          <w:rFonts w:ascii="Times New Roman" w:hAnsi="Times New Roman"/>
          <w:b w:val="false"/>
          <w:bCs w:val="false"/>
          <w:sz w:val="24"/>
          <w:szCs w:val="24"/>
        </w:rPr>
        <w:t>Přemístění stávajícího rozvaděče MaR (BI), včetně napojení nových směšovacích armatur a čerpadel-řízení vytápění</w:t>
      </w:r>
    </w:p>
    <w:p>
      <w:pPr>
        <w:pStyle w:val="ListParagraph"/>
        <w:numPr>
          <w:ilvl w:val="0"/>
          <w:numId w:val="3"/>
        </w:numPr>
        <w:overflowPunct w:val="false"/>
        <w:spacing w:lineRule="atLeast" w:line="11" w:before="57" w:after="0"/>
        <w:jc w:val="both"/>
        <w:textAlignment w:val="auto"/>
        <w:rPr/>
      </w:pPr>
      <w:r>
        <w:rPr>
          <w:rFonts w:ascii="Times New Roman" w:hAnsi="Times New Roman"/>
          <w:b w:val="false"/>
          <w:bCs w:val="false"/>
          <w:sz w:val="24"/>
          <w:szCs w:val="24"/>
        </w:rPr>
        <w:t>Zabezpečení prostoru strojovny (p</w:t>
      </w:r>
      <w:r>
        <w:rPr>
          <w:rFonts w:cs="Times New Roman" w:ascii="Times New Roman" w:hAnsi="Times New Roman"/>
          <w:b w:val="false"/>
          <w:bCs w:val="false"/>
          <w:sz w:val="24"/>
          <w:szCs w:val="24"/>
        </w:rPr>
        <w:t xml:space="preserve">rostor </w:t>
      </w:r>
      <w:r>
        <w:rPr>
          <w:rFonts w:eastAsia="Times New Roman" w:cs="Times New Roman" w:ascii="Times New Roman" w:hAnsi="Times New Roman"/>
          <w:b w:val="false"/>
          <w:bCs w:val="false"/>
          <w:color w:val="auto"/>
          <w:sz w:val="24"/>
          <w:szCs w:val="24"/>
          <w:lang w:val="cs-CZ" w:eastAsia="zh-CN" w:bidi="ar-SA"/>
        </w:rPr>
        <w:t>je</w:t>
      </w:r>
      <w:r>
        <w:rPr>
          <w:rFonts w:cs="Times New Roman" w:ascii="Times New Roman" w:hAnsi="Times New Roman"/>
          <w:b w:val="false"/>
          <w:bCs w:val="false"/>
          <w:sz w:val="24"/>
          <w:szCs w:val="24"/>
        </w:rPr>
        <w:t xml:space="preserve"> dle normy ČSN 07 0703 de-facto plynovou kotelnou III. kategorie</w:t>
      </w:r>
    </w:p>
    <w:p>
      <w:pPr>
        <w:pStyle w:val="ListParagraph"/>
        <w:numPr>
          <w:ilvl w:val="0"/>
          <w:numId w:val="3"/>
        </w:numPr>
        <w:overflowPunct w:val="false"/>
        <w:spacing w:lineRule="atLeast" w:line="11" w:before="57" w:after="0"/>
        <w:jc w:val="both"/>
        <w:textAlignment w:val="auto"/>
        <w:rPr>
          <w:rFonts w:ascii="Times New Roman" w:hAnsi="Times New Roman" w:cs="Times New Roman"/>
          <w:b w:val="false"/>
          <w:b w:val="false"/>
          <w:bCs w:val="false"/>
          <w:sz w:val="24"/>
          <w:szCs w:val="24"/>
        </w:rPr>
      </w:pPr>
      <w:r>
        <w:rPr>
          <w:rFonts w:cs="Times New Roman" w:ascii="Times New Roman" w:hAnsi="Times New Roman"/>
          <w:b w:val="false"/>
          <w:bCs w:val="false"/>
          <w:sz w:val="24"/>
          <w:szCs w:val="24"/>
        </w:rPr>
        <w:t>Ovládání větrání strojovny</w:t>
      </w:r>
    </w:p>
    <w:p>
      <w:pPr>
        <w:pStyle w:val="Normal"/>
        <w:spacing w:lineRule="atLeast" w:line="11" w:before="57" w:after="57"/>
        <w:ind w:left="0" w:right="0" w:hanging="0"/>
        <w:jc w:val="both"/>
        <w:rPr/>
      </w:pPr>
      <w:r>
        <w:rPr>
          <w:rFonts w:cs="Times New Roman" w:ascii="Times New Roman" w:hAnsi="Times New Roman"/>
          <w:b w:val="false"/>
          <w:bCs w:val="false"/>
          <w:sz w:val="24"/>
          <w:szCs w:val="24"/>
        </w:rPr>
        <w:t xml:space="preserve">Dle podkladů </w:t>
      </w:r>
      <w:r>
        <w:rPr>
          <w:rFonts w:eastAsia="Times New Roman" w:cs="Times New Roman" w:ascii="Times New Roman" w:hAnsi="Times New Roman"/>
          <w:b w:val="false"/>
          <w:bCs w:val="false"/>
          <w:color w:val="auto"/>
          <w:sz w:val="24"/>
          <w:szCs w:val="24"/>
          <w:lang w:val="cs-CZ" w:eastAsia="zh-CN" w:bidi="ar-SA"/>
        </w:rPr>
        <w:t>zadavatele</w:t>
      </w:r>
      <w:r>
        <w:rPr>
          <w:rFonts w:cs="Times New Roman" w:ascii="Times New Roman" w:hAnsi="Times New Roman"/>
          <w:b w:val="false"/>
          <w:bCs w:val="false"/>
          <w:sz w:val="24"/>
          <w:szCs w:val="24"/>
        </w:rPr>
        <w:t xml:space="preserve"> </w:t>
      </w:r>
      <w:r>
        <w:rPr>
          <w:rFonts w:eastAsia="Times New Roman" w:cs="Times New Roman" w:ascii="Times New Roman" w:hAnsi="Times New Roman"/>
          <w:b w:val="false"/>
          <w:bCs w:val="false"/>
          <w:color w:val="auto"/>
          <w:sz w:val="24"/>
          <w:szCs w:val="24"/>
          <w:lang w:val="cs-CZ" w:eastAsia="zh-CN" w:bidi="ar-SA"/>
        </w:rPr>
        <w:t>bude n</w:t>
      </w:r>
      <w:r>
        <w:rPr>
          <w:rFonts w:cs="Times New Roman" w:ascii="Times New Roman" w:hAnsi="Times New Roman"/>
          <w:b w:val="false"/>
          <w:bCs w:val="false"/>
          <w:sz w:val="24"/>
          <w:szCs w:val="24"/>
        </w:rPr>
        <w:t xml:space="preserve">avržený vyvíječ páry s napájecím blokem </w:t>
      </w:r>
      <w:r>
        <w:rPr>
          <w:rFonts w:eastAsia="Times New Roman" w:cs="Times New Roman" w:ascii="Times New Roman" w:hAnsi="Times New Roman"/>
          <w:b w:val="false"/>
          <w:bCs w:val="false"/>
          <w:color w:val="auto"/>
          <w:sz w:val="24"/>
          <w:szCs w:val="24"/>
          <w:lang w:val="cs-CZ" w:eastAsia="zh-CN" w:bidi="ar-SA"/>
        </w:rPr>
        <w:t>dodán s</w:t>
      </w:r>
      <w:r>
        <w:rPr>
          <w:rFonts w:cs="Times New Roman" w:ascii="Times New Roman" w:hAnsi="Times New Roman"/>
          <w:b w:val="false"/>
          <w:bCs w:val="false"/>
          <w:sz w:val="24"/>
          <w:szCs w:val="24"/>
        </w:rPr>
        <w:t xml:space="preserve"> vlastním řídícím systémem včetně kompletního zabezpečení B</w:t>
      </w:r>
      <w:r>
        <w:rPr>
          <w:rFonts w:cs="Times New Roman" w:ascii="Times New Roman" w:hAnsi="Times New Roman"/>
          <w:b w:val="false"/>
          <w:bCs w:val="false"/>
          <w:sz w:val="24"/>
          <w:szCs w:val="24"/>
        </w:rPr>
        <w:t>O</w:t>
      </w:r>
      <w:r>
        <w:rPr>
          <w:rFonts w:cs="Times New Roman" w:ascii="Times New Roman" w:hAnsi="Times New Roman"/>
          <w:b w:val="false"/>
          <w:bCs w:val="false"/>
          <w:sz w:val="24"/>
          <w:szCs w:val="24"/>
        </w:rPr>
        <w:t>sB, umístěném ve vlastním rozvaděči ve strojovně. Dodavatel vyžaduje pouze zabezpečení prostoru kotelny formou uzavření přívodu plynu a vypnutí vyvíječe při těchto stavech :</w:t>
      </w:r>
    </w:p>
    <w:p>
      <w:pPr>
        <w:pStyle w:val="Zkladntext3"/>
        <w:widowControl/>
        <w:numPr>
          <w:ilvl w:val="0"/>
          <w:numId w:val="5"/>
        </w:numPr>
        <w:bidi w:val="0"/>
        <w:spacing w:lineRule="atLeast" w:line="11" w:before="57" w:after="0"/>
        <w:ind w:left="737" w:right="0" w:hanging="397"/>
        <w:jc w:val="both"/>
        <w:rPr>
          <w:rFonts w:eastAsia="Times New Roman" w:cs="Times New Roman"/>
          <w:color w:val="auto"/>
          <w:sz w:val="24"/>
          <w:szCs w:val="24"/>
          <w:lang w:val="cs-CZ" w:eastAsia="zh-CN" w:bidi="ar-SA"/>
        </w:rPr>
      </w:pPr>
      <w:r>
        <w:rPr>
          <w:rFonts w:eastAsia="Times New Roman" w:cs="Times New Roman"/>
          <w:color w:val="auto"/>
          <w:sz w:val="24"/>
          <w:szCs w:val="24"/>
          <w:lang w:val="cs-CZ" w:eastAsia="zh-CN" w:bidi="ar-SA"/>
        </w:rPr>
        <w:t xml:space="preserve">při překročení 2. stupně detekce plynu </w:t>
      </w:r>
    </w:p>
    <w:p>
      <w:pPr>
        <w:pStyle w:val="ListParagraph"/>
        <w:widowControl/>
        <w:numPr>
          <w:ilvl w:val="0"/>
          <w:numId w:val="5"/>
        </w:numPr>
        <w:bidi w:val="0"/>
        <w:spacing w:lineRule="atLeast" w:line="11" w:before="57" w:after="0"/>
        <w:ind w:left="737" w:right="0" w:hanging="397"/>
        <w:jc w:val="both"/>
        <w:rPr>
          <w:rFonts w:ascii="Times New Roman" w:hAnsi="Times New Roman" w:cs="Times New Roman"/>
          <w:sz w:val="24"/>
          <w:szCs w:val="24"/>
        </w:rPr>
      </w:pPr>
      <w:r>
        <w:rPr>
          <w:rFonts w:cs="Times New Roman" w:ascii="Times New Roman" w:hAnsi="Times New Roman"/>
          <w:sz w:val="24"/>
          <w:szCs w:val="24"/>
        </w:rPr>
        <w:t>při překročení teploty ve strojovně nad 40°C</w:t>
      </w:r>
    </w:p>
    <w:p>
      <w:pPr>
        <w:pStyle w:val="ListParagraph"/>
        <w:widowControl/>
        <w:numPr>
          <w:ilvl w:val="0"/>
          <w:numId w:val="5"/>
        </w:numPr>
        <w:bidi w:val="0"/>
        <w:spacing w:lineRule="atLeast" w:line="11" w:before="57" w:after="0"/>
        <w:ind w:left="737" w:right="0" w:hanging="397"/>
        <w:jc w:val="both"/>
        <w:rPr/>
      </w:pPr>
      <w:r>
        <w:rPr>
          <w:rFonts w:cs="Times New Roman" w:ascii="Times New Roman" w:hAnsi="Times New Roman"/>
          <w:sz w:val="24"/>
          <w:szCs w:val="24"/>
        </w:rPr>
        <w:t xml:space="preserve">při zaplavení </w:t>
      </w:r>
      <w:r>
        <w:rPr>
          <w:rFonts w:eastAsia="Times New Roman" w:cs="Times New Roman" w:ascii="Times New Roman" w:hAnsi="Times New Roman"/>
          <w:color w:val="auto"/>
          <w:sz w:val="24"/>
          <w:szCs w:val="24"/>
          <w:lang w:val="cs-CZ" w:eastAsia="zh-CN" w:bidi="ar-SA"/>
        </w:rPr>
        <w:t>strojovny</w:t>
      </w:r>
    </w:p>
    <w:p>
      <w:pPr>
        <w:pStyle w:val="Normal"/>
        <w:spacing w:before="120" w:after="0"/>
        <w:jc w:val="both"/>
        <w:rPr>
          <w:rFonts w:ascii="Times New Roman" w:hAnsi="Times New Roman" w:cs="Times New Roman"/>
          <w:sz w:val="24"/>
          <w:szCs w:val="24"/>
        </w:rPr>
      </w:pPr>
      <w:r>
        <w:rPr>
          <w:rFonts w:cs="Times New Roman" w:ascii="Times New Roman" w:hAnsi="Times New Roman"/>
          <w:sz w:val="24"/>
          <w:szCs w:val="24"/>
        </w:rPr>
        <w:t>Havarijní stavy odstaví kotelnu z provozu. Znovu uvedení kotelny do provozu po havarijním signálu je možné až po ručním zásahu obsluhy.</w:t>
      </w:r>
    </w:p>
    <w:p>
      <w:pPr>
        <w:pStyle w:val="Nadpis1"/>
        <w:keepNext w:val="true"/>
        <w:widowControl/>
        <w:bidi w:val="0"/>
        <w:spacing w:before="170" w:after="113"/>
        <w:ind w:left="567" w:right="0" w:hanging="567"/>
        <w:jc w:val="both"/>
        <w:rPr/>
      </w:pPr>
      <w:bookmarkStart w:id="16" w:name="__RefHeading___Toc515456911"/>
      <w:bookmarkEnd w:id="16"/>
      <w:r>
        <w:rPr/>
        <w:t>podmínky připojení na místní technickou infrastrukturu</w:t>
      </w:r>
    </w:p>
    <w:p>
      <w:pPr>
        <w:pStyle w:val="Tlotextu"/>
        <w:spacing w:lineRule="atLeast" w:line="0" w:before="57" w:after="57"/>
        <w:ind w:left="0" w:right="0" w:hanging="0"/>
        <w:jc w:val="both"/>
        <w:rPr>
          <w:rFonts w:ascii="Times New Roman" w:hAnsi="Times New Roman"/>
        </w:rPr>
      </w:pPr>
      <w:r>
        <w:rPr>
          <w:rFonts w:eastAsia="Times New Roman" w:cs="Times New Roman" w:ascii="Times New Roman" w:hAnsi="Times New Roman"/>
          <w:color w:val="auto"/>
          <w:sz w:val="24"/>
          <w:szCs w:val="20"/>
          <w:lang w:val="cs-CZ" w:eastAsia="zh-CN" w:bidi="ar-SA"/>
        </w:rPr>
        <w:t xml:space="preserve">V areálu nemocnice je v současné době používán mix zastaralých řídící systémů Landis a Staefa s původní komunikací S-Bus a nové moderní řídící systémy Siemens </w:t>
      </w:r>
      <w:r>
        <w:rPr>
          <w:rFonts w:eastAsia="Times New Roman" w:cs="Times New Roman" w:ascii="Times New Roman" w:hAnsi="Times New Roman"/>
          <w:color w:val="auto"/>
          <w:sz w:val="24"/>
          <w:szCs w:val="22"/>
          <w:lang w:val="cs-CZ" w:eastAsia="zh-CN" w:bidi="ar-SA"/>
        </w:rPr>
        <w:t>s datovým výstupem BACnet IP.</w:t>
      </w:r>
      <w:r>
        <w:rPr>
          <w:rFonts w:eastAsia="Times New Roman" w:cs="Times New Roman" w:ascii="Times New Roman" w:hAnsi="Times New Roman"/>
          <w:color w:val="auto"/>
          <w:sz w:val="24"/>
          <w:szCs w:val="20"/>
          <w:lang w:val="cs-CZ" w:eastAsia="zh-CN" w:bidi="ar-SA"/>
        </w:rPr>
        <w:t xml:space="preserve"> Cílem je postupný přechod na tyto moderní regulátory. Velíny jsou k tomuto účelu již vybaveny nejnovější vizualizací Siemens Desigo Inside </w:t>
      </w:r>
      <w:r>
        <w:rPr>
          <w:rFonts w:eastAsia="Times New Roman" w:cs="Times New Roman" w:ascii="Times New Roman" w:hAnsi="Times New Roman"/>
          <w:color w:val="auto"/>
          <w:sz w:val="24"/>
          <w:szCs w:val="20"/>
          <w:lang w:val="cs-CZ" w:eastAsia="zh-CN" w:bidi="ar-SA"/>
        </w:rPr>
        <w:t>V</w:t>
      </w:r>
      <w:r>
        <w:rPr>
          <w:rFonts w:eastAsia="Times New Roman" w:cs="Times New Roman" w:ascii="Times New Roman" w:hAnsi="Times New Roman"/>
          <w:color w:val="auto"/>
          <w:sz w:val="24"/>
          <w:szCs w:val="20"/>
          <w:lang w:val="cs-CZ" w:eastAsia="zh-CN" w:bidi="ar-SA"/>
        </w:rPr>
        <w:t>6. Původní rozvaděč MaR strojovny vytápění BI je osazen starým systémem Landis, takže jeho přesun a rekonstrukce prádelny bude využita k jeho nahrazení novým regulátorem SIEMENS. Stávající rozvaděč BI bude proto demontován a nahrazen novým. Pro napojení nového regulátoru do komunikace BACnet IP musí zadavatel zřídit novou datovou přípojku formou ethernetové dvojzásuvky, napojené na místní oddělený technologický ethernet. Ve stávajícím rozvaděči BI je propojka původní komunikace mezi rozvaděči BL a BJ, tu je nutno po demontáži rozvaděče zachovat, (nasvorkovat a skrýt do krabice či do instalačního žlabu)  tyto rozvaděče zůstávají prozatím stávající a budou nahrazeny v budoucnu.</w:t>
      </w:r>
    </w:p>
    <w:p>
      <w:pPr>
        <w:pStyle w:val="Tlotextu"/>
        <w:spacing w:lineRule="atLeast" w:line="0" w:before="57" w:after="57"/>
        <w:ind w:left="0" w:right="0" w:hanging="0"/>
        <w:jc w:val="both"/>
        <w:rPr>
          <w:rFonts w:ascii="Times New Roman" w:hAnsi="Times New Roman"/>
        </w:rPr>
      </w:pPr>
      <w:r>
        <w:rPr>
          <w:rFonts w:ascii="Times New Roman" w:hAnsi="Times New Roman"/>
          <w:sz w:val="24"/>
        </w:rPr>
        <w:t xml:space="preserve">Zařízení musí pracovat zcela autonomně i bez datového propojení na nadřazený monitoring. Místní ovládání zdroje tepla bude z nového ovládacího panelu  na  novém rozvaděči </w:t>
      </w:r>
      <w:r>
        <w:rPr>
          <w:rFonts w:eastAsia="Times New Roman" w:cs="Times New Roman" w:ascii="Times New Roman" w:hAnsi="Times New Roman"/>
          <w:color w:val="auto"/>
          <w:sz w:val="24"/>
          <w:szCs w:val="20"/>
          <w:lang w:val="cs-CZ" w:eastAsia="zh-CN" w:bidi="ar-SA"/>
        </w:rPr>
        <w:t>BI.</w:t>
      </w:r>
    </w:p>
    <w:p>
      <w:pPr>
        <w:pStyle w:val="Nadpis1"/>
        <w:keepNext w:val="true"/>
        <w:widowControl/>
        <w:bidi w:val="0"/>
        <w:spacing w:before="170" w:after="113"/>
        <w:ind w:left="567" w:right="0" w:hanging="567"/>
        <w:jc w:val="both"/>
        <w:rPr/>
      </w:pPr>
      <w:bookmarkStart w:id="17" w:name="__RefHeading___Toc515456912"/>
      <w:bookmarkEnd w:id="17"/>
      <w:r>
        <w:rPr/>
        <w:t>údaje o škodlivinách se stanovením emisí a jejich koncentrace</w:t>
      </w:r>
    </w:p>
    <w:p>
      <w:pPr>
        <w:pStyle w:val="Normal"/>
        <w:spacing w:before="120" w:after="0"/>
        <w:rPr>
          <w:rFonts w:ascii="Times New Roman" w:hAnsi="Times New Roman" w:cs="Times New Roman"/>
          <w:sz w:val="24"/>
        </w:rPr>
      </w:pPr>
      <w:r>
        <w:rPr>
          <w:rFonts w:cs="Times New Roman" w:ascii="Times New Roman" w:hAnsi="Times New Roman"/>
          <w:sz w:val="24"/>
        </w:rPr>
        <w:t>Z provozu zařízení Měření a regulace nevznikají žádné škodliviny</w:t>
      </w:r>
    </w:p>
    <w:p>
      <w:pPr>
        <w:pStyle w:val="Nadpis1"/>
        <w:keepNext w:val="true"/>
        <w:widowControl/>
        <w:bidi w:val="0"/>
        <w:spacing w:before="170" w:after="113"/>
        <w:ind w:left="567" w:right="0" w:hanging="567"/>
        <w:jc w:val="both"/>
        <w:rPr/>
      </w:pPr>
      <w:bookmarkStart w:id="18" w:name="__RefHeading___Toc515456913"/>
      <w:bookmarkEnd w:id="18"/>
      <w:r>
        <w:rPr/>
        <w:t>provozní podmínky - počet osob, tepelné ztráty, tepelné zátěže apod., provozní režim - trvalý, občasný, nepřerušovaný</w:t>
      </w:r>
    </w:p>
    <w:p>
      <w:pPr>
        <w:pStyle w:val="Normal"/>
        <w:spacing w:lineRule="atLeast" w:line="0" w:before="57" w:after="57"/>
        <w:ind w:left="0" w:right="0" w:hanging="0"/>
        <w:jc w:val="both"/>
        <w:rPr>
          <w:rFonts w:ascii="Times New Roman" w:hAnsi="Times New Roman" w:eastAsia="Times New Roman" w:cs="Times New Roman"/>
          <w:b/>
          <w:b/>
          <w:bCs/>
          <w:color w:val="auto"/>
          <w:kern w:val="0"/>
          <w:sz w:val="24"/>
          <w:szCs w:val="24"/>
          <w:lang w:val="cs-CZ" w:eastAsia="cs-CZ" w:bidi="ar-SA"/>
        </w:rPr>
      </w:pPr>
      <w:r>
        <w:rPr>
          <w:rFonts w:eastAsia="Times New Roman" w:cs="Times New Roman" w:ascii="Times New Roman" w:hAnsi="Times New Roman"/>
          <w:b/>
          <w:bCs/>
          <w:color w:val="auto"/>
          <w:kern w:val="0"/>
          <w:sz w:val="24"/>
          <w:szCs w:val="24"/>
          <w:lang w:val="cs-CZ" w:eastAsia="cs-CZ" w:bidi="ar-SA"/>
        </w:rPr>
        <w:t>Tepelná bilance - pára</w:t>
      </w:r>
    </w:p>
    <w:p>
      <w:pPr>
        <w:pStyle w:val="Normal"/>
        <w:spacing w:lineRule="atLeast" w:line="0" w:before="57" w:after="57"/>
        <w:ind w:left="0" w:right="0" w:hanging="0"/>
        <w:jc w:val="both"/>
        <w:rPr>
          <w:rFonts w:ascii="Times New Roman" w:hAnsi="Times New Roman"/>
          <w:sz w:val="24"/>
          <w:szCs w:val="24"/>
        </w:rPr>
      </w:pPr>
      <w:r>
        <w:rPr>
          <w:rFonts w:ascii="Times New Roman" w:hAnsi="Times New Roman"/>
          <w:sz w:val="24"/>
          <w:szCs w:val="24"/>
        </w:rPr>
        <w:t>Instalovaná potřeba středotlaké páry:</w:t>
      </w:r>
    </w:p>
    <w:p>
      <w:pPr>
        <w:pStyle w:val="Normal"/>
        <w:spacing w:lineRule="atLeast" w:line="0" w:before="0" w:after="57"/>
        <w:ind w:left="0" w:right="0" w:hanging="0"/>
        <w:jc w:val="both"/>
        <w:rPr>
          <w:rFonts w:ascii="Times New Roman" w:hAnsi="Times New Roman"/>
          <w:sz w:val="24"/>
          <w:szCs w:val="24"/>
        </w:rPr>
      </w:pPr>
      <w:r>
        <w:rPr>
          <w:rFonts w:ascii="Times New Roman" w:hAnsi="Times New Roman"/>
          <w:sz w:val="24"/>
          <w:szCs w:val="24"/>
        </w:rPr>
        <w:t>Redukovaná pára o přetlaku 0,7-0,8Mpa</w:t>
        <w:tab/>
        <w:tab/>
        <w:tab/>
        <w:t>292 kg/hod</w:t>
      </w:r>
    </w:p>
    <w:p>
      <w:pPr>
        <w:pStyle w:val="Normal"/>
        <w:spacing w:lineRule="atLeast" w:line="0" w:before="0" w:after="57"/>
        <w:ind w:left="0" w:right="0" w:hanging="0"/>
        <w:jc w:val="both"/>
        <w:rPr>
          <w:rFonts w:ascii="Times New Roman" w:hAnsi="Times New Roman"/>
          <w:sz w:val="24"/>
          <w:szCs w:val="24"/>
        </w:rPr>
      </w:pPr>
      <w:r>
        <w:rPr>
          <w:rFonts w:ascii="Times New Roman" w:hAnsi="Times New Roman"/>
          <w:sz w:val="24"/>
          <w:szCs w:val="24"/>
        </w:rPr>
        <w:t>Neredukovaná pára o přetlaku 1,1-1,2Mpa</w:t>
        <w:tab/>
        <w:tab/>
        <w:tab/>
        <w:t>275 kg/hod</w:t>
      </w:r>
    </w:p>
    <w:p>
      <w:pPr>
        <w:pStyle w:val="Normal"/>
        <w:spacing w:lineRule="atLeast" w:line="0" w:before="0" w:after="57"/>
        <w:ind w:left="0" w:right="0" w:hanging="0"/>
        <w:jc w:val="both"/>
        <w:rPr>
          <w:rFonts w:ascii="Times New Roman" w:hAnsi="Times New Roman"/>
          <w:sz w:val="24"/>
          <w:szCs w:val="24"/>
        </w:rPr>
      </w:pPr>
      <w:r>
        <w:rPr>
          <w:rFonts w:ascii="Times New Roman" w:hAnsi="Times New Roman"/>
          <w:sz w:val="24"/>
          <w:szCs w:val="24"/>
        </w:rPr>
        <w:t>Instalovaná potřeba středotlaké páry v prádelně ∑</w:t>
        <w:tab/>
        <w:tab/>
        <w:t>567 kg/hod</w:t>
      </w:r>
    </w:p>
    <w:p>
      <w:pPr>
        <w:pStyle w:val="Normal"/>
        <w:spacing w:lineRule="atLeast" w:line="0" w:before="0" w:after="0"/>
        <w:ind w:left="0" w:right="0" w:hanging="0"/>
        <w:jc w:val="both"/>
        <w:rPr>
          <w:rFonts w:ascii="Times New Roman" w:hAnsi="Times New Roman"/>
          <w:sz w:val="24"/>
          <w:szCs w:val="24"/>
        </w:rPr>
      </w:pPr>
      <w:r>
        <w:rPr>
          <w:rFonts w:ascii="Times New Roman" w:hAnsi="Times New Roman"/>
          <w:sz w:val="24"/>
          <w:szCs w:val="24"/>
        </w:rPr>
        <w:t>10% rezerva</w:t>
        <w:tab/>
        <w:tab/>
        <w:tab/>
        <w:tab/>
        <w:tab/>
        <w:tab/>
        <w:tab/>
        <w:t>57 kg/hod</w:t>
      </w:r>
    </w:p>
    <w:p>
      <w:pPr>
        <w:pStyle w:val="Normal"/>
        <w:spacing w:lineRule="atLeast" w:line="0" w:before="0" w:after="0"/>
        <w:ind w:left="0" w:right="0" w:hanging="0"/>
        <w:jc w:val="both"/>
        <w:rPr>
          <w:rFonts w:ascii="Times New Roman" w:hAnsi="Times New Roman"/>
          <w:sz w:val="24"/>
          <w:szCs w:val="24"/>
        </w:rPr>
      </w:pPr>
      <w:r>
        <w:rPr>
          <w:rFonts w:ascii="Times New Roman" w:hAnsi="Times New Roman"/>
          <w:sz w:val="24"/>
          <w:szCs w:val="24"/>
        </w:rPr>
        <w:t>----------------------------------------------------------------------------------------------</w:t>
      </w:r>
    </w:p>
    <w:p>
      <w:pPr>
        <w:pStyle w:val="Normal"/>
        <w:spacing w:lineRule="atLeast" w:line="0" w:before="0" w:after="57"/>
        <w:ind w:left="0" w:right="0" w:hanging="0"/>
        <w:jc w:val="both"/>
        <w:rPr>
          <w:rFonts w:ascii="Times New Roman" w:hAnsi="Times New Roman"/>
          <w:sz w:val="24"/>
          <w:szCs w:val="24"/>
        </w:rPr>
      </w:pPr>
      <w:r>
        <w:rPr>
          <w:rFonts w:ascii="Times New Roman" w:hAnsi="Times New Roman"/>
          <w:sz w:val="24"/>
          <w:szCs w:val="24"/>
        </w:rPr>
        <w:t>CELKEM potřeba středotlaké páry v prádelně ∑</w:t>
        <w:tab/>
        <w:tab/>
        <w:t>624 kg/hod</w:t>
      </w:r>
    </w:p>
    <w:p>
      <w:pPr>
        <w:pStyle w:val="Normal"/>
        <w:spacing w:lineRule="atLeast" w:line="0" w:before="57" w:after="57"/>
        <w:ind w:left="0" w:right="0" w:hanging="0"/>
        <w:jc w:val="both"/>
        <w:rPr>
          <w:rFonts w:ascii="Times New Roman" w:hAnsi="Times New Roman"/>
          <w:sz w:val="24"/>
          <w:szCs w:val="24"/>
        </w:rPr>
      </w:pPr>
      <w:r>
        <w:rPr>
          <w:rFonts w:ascii="Times New Roman" w:hAnsi="Times New Roman"/>
          <w:sz w:val="24"/>
          <w:szCs w:val="24"/>
        </w:rPr>
        <w:t>Instalovaný parní vyvíječ – parní výkon</w:t>
        <w:tab/>
        <w:tab/>
        <w:tab/>
        <w:t>700 kg/hod</w:t>
      </w:r>
    </w:p>
    <w:p>
      <w:pPr>
        <w:pStyle w:val="ListParagraph"/>
        <w:spacing w:lineRule="atLeast" w:line="0" w:before="0" w:after="57"/>
        <w:ind w:left="0" w:right="0" w:hanging="0"/>
        <w:jc w:val="both"/>
        <w:rPr>
          <w:rFonts w:ascii="Times New Roman" w:hAnsi="Times New Roman"/>
          <w:sz w:val="24"/>
          <w:szCs w:val="24"/>
        </w:rPr>
      </w:pPr>
      <w:r>
        <w:rPr>
          <w:rFonts w:ascii="Times New Roman" w:hAnsi="Times New Roman"/>
          <w:sz w:val="24"/>
          <w:szCs w:val="24"/>
        </w:rPr>
        <w:t xml:space="preserve">Médium: </w:t>
        <w:tab/>
        <w:tab/>
        <w:tab/>
        <w:tab/>
        <w:tab/>
        <w:tab/>
        <w:tab/>
        <w:t>zemní plyn G20</w:t>
      </w:r>
    </w:p>
    <w:p>
      <w:pPr>
        <w:pStyle w:val="ListParagraph"/>
        <w:spacing w:lineRule="atLeast" w:line="0" w:before="0" w:after="57"/>
        <w:ind w:left="0" w:right="0" w:hanging="0"/>
        <w:jc w:val="both"/>
        <w:rPr>
          <w:rFonts w:ascii="Times New Roman" w:hAnsi="Times New Roman"/>
          <w:sz w:val="24"/>
          <w:szCs w:val="24"/>
        </w:rPr>
      </w:pPr>
      <w:r>
        <w:rPr>
          <w:rFonts w:ascii="Times New Roman" w:hAnsi="Times New Roman"/>
          <w:sz w:val="24"/>
          <w:szCs w:val="24"/>
        </w:rPr>
        <w:t xml:space="preserve">Výhřevnost: </w:t>
        <w:tab/>
        <w:tab/>
        <w:tab/>
        <w:tab/>
        <w:tab/>
        <w:tab/>
        <w:tab/>
        <w:t>35,3 MJ/m3</w:t>
      </w:r>
    </w:p>
    <w:p>
      <w:pPr>
        <w:pStyle w:val="ListParagraph"/>
        <w:spacing w:lineRule="atLeast" w:line="0" w:before="0" w:after="57"/>
        <w:ind w:left="0" w:right="0" w:hanging="0"/>
        <w:jc w:val="both"/>
        <w:rPr>
          <w:rFonts w:ascii="Times New Roman" w:hAnsi="Times New Roman"/>
          <w:sz w:val="24"/>
          <w:szCs w:val="24"/>
        </w:rPr>
      </w:pPr>
      <w:r>
        <w:rPr>
          <w:rFonts w:ascii="Times New Roman" w:hAnsi="Times New Roman"/>
          <w:sz w:val="24"/>
          <w:szCs w:val="24"/>
        </w:rPr>
        <w:t xml:space="preserve">Tlak plynu před spotřebičem: </w:t>
        <w:tab/>
        <w:tab/>
        <w:tab/>
        <w:tab/>
        <w:t>3-5 kPa</w:t>
      </w:r>
    </w:p>
    <w:p>
      <w:pPr>
        <w:pStyle w:val="ListParagraph"/>
        <w:spacing w:lineRule="atLeast" w:line="0" w:before="0" w:after="57"/>
        <w:ind w:left="0" w:right="0" w:hanging="0"/>
        <w:jc w:val="both"/>
        <w:rPr>
          <w:rFonts w:ascii="Times New Roman" w:hAnsi="Times New Roman"/>
          <w:sz w:val="24"/>
          <w:szCs w:val="24"/>
        </w:rPr>
      </w:pPr>
      <w:r>
        <w:rPr>
          <w:rFonts w:ascii="Times New Roman" w:hAnsi="Times New Roman"/>
          <w:sz w:val="24"/>
          <w:szCs w:val="24"/>
        </w:rPr>
        <w:t xml:space="preserve">Příkon hořáku: </w:t>
        <w:tab/>
        <w:tab/>
        <w:tab/>
        <w:tab/>
        <w:tab/>
        <w:tab/>
        <w:t>510 kW</w:t>
      </w:r>
    </w:p>
    <w:p>
      <w:pPr>
        <w:pStyle w:val="ListParagraph"/>
        <w:spacing w:lineRule="atLeast" w:line="0" w:before="0" w:after="57"/>
        <w:ind w:left="0" w:right="0" w:hanging="0"/>
        <w:jc w:val="both"/>
        <w:rPr/>
      </w:pPr>
      <w:r>
        <w:rPr>
          <w:rFonts w:ascii="Times New Roman" w:hAnsi="Times New Roman"/>
          <w:sz w:val="24"/>
          <w:szCs w:val="24"/>
        </w:rPr>
        <w:t xml:space="preserve">Spotřeba plynu: </w:t>
        <w:tab/>
        <w:tab/>
        <w:tab/>
        <w:tab/>
        <w:tab/>
        <w:tab/>
        <w:t>50,9 m</w:t>
      </w:r>
      <w:r>
        <w:rPr>
          <w:rFonts w:ascii="Times New Roman" w:hAnsi="Times New Roman"/>
          <w:sz w:val="24"/>
          <w:szCs w:val="24"/>
          <w:vertAlign w:val="superscript"/>
        </w:rPr>
        <w:t>3</w:t>
      </w:r>
      <w:r>
        <w:rPr>
          <w:rFonts w:ascii="Times New Roman" w:hAnsi="Times New Roman"/>
          <w:sz w:val="24"/>
          <w:szCs w:val="24"/>
        </w:rPr>
        <w:t>/hod.</w:t>
      </w:r>
    </w:p>
    <w:p>
      <w:pPr>
        <w:pStyle w:val="ListParagraph"/>
        <w:spacing w:lineRule="atLeast" w:line="0" w:before="0" w:after="57"/>
        <w:ind w:left="0" w:right="0" w:hanging="0"/>
        <w:jc w:val="both"/>
        <w:rPr>
          <w:rFonts w:ascii="Times New Roman" w:hAnsi="Times New Roman"/>
          <w:sz w:val="24"/>
          <w:szCs w:val="24"/>
        </w:rPr>
      </w:pPr>
      <w:r>
        <w:rPr>
          <w:rFonts w:ascii="Times New Roman" w:hAnsi="Times New Roman"/>
          <w:sz w:val="24"/>
          <w:szCs w:val="24"/>
        </w:rPr>
        <w:t>Podmínky pro napojení jsou uvedeny ve smlouvě o připojení k distribuční soustavě č.310090007326.</w:t>
      </w:r>
    </w:p>
    <w:p>
      <w:pPr>
        <w:pStyle w:val="Tlotextu"/>
        <w:spacing w:before="113" w:after="57"/>
        <w:rPr>
          <w:rFonts w:ascii="Times New Roman" w:hAnsi="Times New Roman"/>
          <w:b/>
          <w:b/>
          <w:bCs/>
          <w:sz w:val="24"/>
          <w:szCs w:val="24"/>
        </w:rPr>
      </w:pPr>
      <w:bookmarkStart w:id="19" w:name="__RefHeading___Toc1111_2687883190"/>
      <w:bookmarkStart w:id="20" w:name="_Toc49749251"/>
      <w:bookmarkEnd w:id="19"/>
      <w:r>
        <w:rPr>
          <w:rFonts w:ascii="Times New Roman" w:hAnsi="Times New Roman"/>
          <w:b/>
          <w:bCs/>
          <w:sz w:val="24"/>
          <w:szCs w:val="24"/>
        </w:rPr>
        <w:t>Tepelná bilance - vytápění</w:t>
      </w:r>
      <w:bookmarkEnd w:id="20"/>
    </w:p>
    <w:p>
      <w:pPr>
        <w:pStyle w:val="Normal"/>
        <w:spacing w:lineRule="atLeast" w:line="0" w:before="0" w:after="57"/>
        <w:ind w:left="0" w:right="0" w:hanging="0"/>
        <w:jc w:val="both"/>
        <w:rPr>
          <w:rFonts w:ascii="Times New Roman" w:hAnsi="Times New Roman"/>
          <w:sz w:val="24"/>
          <w:szCs w:val="24"/>
        </w:rPr>
      </w:pPr>
      <w:r>
        <w:rPr>
          <w:rFonts w:ascii="Times New Roman" w:hAnsi="Times New Roman"/>
          <w:sz w:val="24"/>
          <w:szCs w:val="24"/>
        </w:rPr>
        <w:t xml:space="preserve">Topná voda </w:t>
        <w:tab/>
        <w:tab/>
        <w:tab/>
        <w:tab/>
        <w:tab/>
        <w:tab/>
        <w:tab/>
        <w:t>Tepelný spád 90/70°C.</w:t>
      </w:r>
    </w:p>
    <w:p>
      <w:pPr>
        <w:pStyle w:val="Normal"/>
        <w:spacing w:lineRule="atLeast" w:line="0" w:before="0" w:after="57"/>
        <w:ind w:left="0" w:right="0" w:hanging="0"/>
        <w:jc w:val="both"/>
        <w:rPr>
          <w:rFonts w:ascii="Times New Roman" w:hAnsi="Times New Roman"/>
          <w:sz w:val="24"/>
          <w:szCs w:val="24"/>
        </w:rPr>
      </w:pPr>
      <w:r>
        <w:rPr>
          <w:rFonts w:ascii="Times New Roman" w:hAnsi="Times New Roman"/>
          <w:sz w:val="24"/>
          <w:szCs w:val="24"/>
        </w:rPr>
        <w:t>Ohřev vzduchu (nezměněno)</w:t>
        <w:tab/>
        <w:tab/>
        <w:tab/>
        <w:tab/>
        <w:tab/>
        <w:t>188,5 kW</w:t>
      </w:r>
    </w:p>
    <w:p>
      <w:pPr>
        <w:pStyle w:val="Normal"/>
        <w:spacing w:lineRule="atLeast" w:line="0" w:before="0" w:after="57"/>
        <w:ind w:left="0" w:right="0" w:hanging="0"/>
        <w:jc w:val="both"/>
        <w:rPr>
          <w:rFonts w:ascii="Times New Roman" w:hAnsi="Times New Roman"/>
          <w:sz w:val="24"/>
          <w:szCs w:val="24"/>
        </w:rPr>
      </w:pPr>
      <w:r>
        <w:rPr>
          <w:rFonts w:ascii="Times New Roman" w:hAnsi="Times New Roman"/>
          <w:sz w:val="24"/>
          <w:szCs w:val="24"/>
        </w:rPr>
        <w:t>Ústřední vytápění objektu (nezměněno)</w:t>
        <w:tab/>
        <w:tab/>
        <w:tab/>
        <w:t>105,0 kW</w:t>
      </w:r>
    </w:p>
    <w:p>
      <w:pPr>
        <w:pStyle w:val="ListParagraph"/>
        <w:spacing w:lineRule="atLeast" w:line="0" w:before="0" w:after="57"/>
        <w:ind w:left="0" w:right="0" w:hanging="0"/>
        <w:jc w:val="both"/>
        <w:rPr>
          <w:rFonts w:ascii="Times New Roman" w:hAnsi="Times New Roman"/>
          <w:sz w:val="24"/>
          <w:szCs w:val="24"/>
        </w:rPr>
      </w:pPr>
      <w:r>
        <w:rPr>
          <w:rFonts w:ascii="Times New Roman" w:hAnsi="Times New Roman"/>
          <w:sz w:val="24"/>
          <w:szCs w:val="24"/>
        </w:rPr>
        <w:t xml:space="preserve">Provoz prádelny bude jednosměnný, v době od 6 hod. do 16 hod. </w:t>
      </w:r>
    </w:p>
    <w:p>
      <w:pPr>
        <w:pStyle w:val="Nadpis1"/>
        <w:keepNext w:val="true"/>
        <w:widowControl/>
        <w:bidi w:val="0"/>
        <w:spacing w:before="170" w:after="113"/>
        <w:ind w:left="567" w:right="0" w:hanging="567"/>
        <w:jc w:val="both"/>
        <w:rPr/>
      </w:pPr>
      <w:bookmarkStart w:id="21" w:name="__RefHeading___Toc515456914"/>
      <w:bookmarkEnd w:id="21"/>
      <w:r>
        <w:rPr/>
        <w:t>popis navrženého řešení a dimenzování, popis funkce, uspořádání a instalace systému</w:t>
      </w:r>
    </w:p>
    <w:p>
      <w:pPr>
        <w:pStyle w:val="Tlotextu"/>
        <w:spacing w:before="113" w:after="57"/>
        <w:rPr>
          <w:rFonts w:ascii="Arial" w:hAnsi="Arial" w:cs="Arial"/>
          <w:b/>
          <w:b/>
          <w:bCs/>
          <w:sz w:val="24"/>
        </w:rPr>
      </w:pPr>
      <w:r>
        <w:rPr>
          <w:rFonts w:cs="Arial"/>
          <w:b/>
          <w:bCs/>
          <w:sz w:val="24"/>
        </w:rPr>
        <w:t>NAVRŽENÝ ŘÍDÍCÍ SYSTÉM</w:t>
      </w:r>
    </w:p>
    <w:p>
      <w:pPr>
        <w:pStyle w:val="Normal"/>
        <w:spacing w:lineRule="auto" w:line="240" w:before="57" w:after="57"/>
        <w:ind w:left="0" w:right="0" w:hanging="0"/>
        <w:jc w:val="both"/>
        <w:rPr/>
      </w:pPr>
      <w:r>
        <w:rPr>
          <w:rFonts w:ascii="Times New Roman" w:hAnsi="Times New Roman"/>
          <w:sz w:val="24"/>
        </w:rPr>
        <w:t xml:space="preserve">Pro řízení vytápění objektu, zabezpečení </w:t>
      </w:r>
      <w:r>
        <w:rPr>
          <w:rFonts w:eastAsia="Times New Roman" w:cs="Arial" w:ascii="Times New Roman" w:hAnsi="Times New Roman"/>
          <w:color w:val="auto"/>
          <w:sz w:val="24"/>
          <w:szCs w:val="22"/>
          <w:lang w:val="cs-CZ" w:eastAsia="zh-CN" w:bidi="ar-SA"/>
        </w:rPr>
        <w:t>prostoru</w:t>
      </w:r>
      <w:r>
        <w:rPr>
          <w:rFonts w:ascii="Times New Roman" w:hAnsi="Times New Roman"/>
          <w:sz w:val="24"/>
        </w:rPr>
        <w:t xml:space="preserve"> vyvíječe páry a zajištění návazností na novou vizualizaci v areálu </w:t>
      </w:r>
      <w:r>
        <w:rPr>
          <w:rFonts w:eastAsia="Times New Roman" w:cs="Arial" w:ascii="Times New Roman" w:hAnsi="Times New Roman"/>
          <w:color w:val="auto"/>
          <w:sz w:val="24"/>
          <w:szCs w:val="22"/>
          <w:lang w:val="cs-CZ" w:eastAsia="zh-CN" w:bidi="ar-SA"/>
        </w:rPr>
        <w:t xml:space="preserve">je do nového rozvaděče BI navržen volně programovatelný sběrnicový DDC regulátor SIEMENS PXC 100.E.D pro 200 datových bodů s přídavnými I/O moduly TXM. </w:t>
      </w:r>
    </w:p>
    <w:p>
      <w:pPr>
        <w:pStyle w:val="Normal"/>
        <w:spacing w:lineRule="auto" w:line="240" w:before="57" w:after="57"/>
        <w:ind w:left="0" w:right="0" w:hanging="0"/>
        <w:jc w:val="both"/>
        <w:rPr/>
      </w:pPr>
      <w:r>
        <w:rPr>
          <w:rFonts w:ascii="Times New Roman" w:hAnsi="Times New Roman"/>
          <w:sz w:val="24"/>
        </w:rPr>
        <w:t xml:space="preserve">Regulátor SIEMENS má datový výstup BACnet IP a bude přes </w:t>
      </w:r>
      <w:r>
        <w:rPr>
          <w:rFonts w:eastAsia="Times New Roman" w:cs="Times New Roman" w:ascii="Times New Roman" w:hAnsi="Times New Roman"/>
          <w:color w:val="auto"/>
          <w:sz w:val="24"/>
          <w:szCs w:val="20"/>
          <w:lang w:val="cs-CZ" w:eastAsia="zh-CN" w:bidi="ar-SA"/>
        </w:rPr>
        <w:t xml:space="preserve">novou datovou přípojku formou ethernetové dvojzásuvky napojen na místní oddělený technologický ethernet a </w:t>
      </w:r>
      <w:r>
        <w:rPr>
          <w:rFonts w:ascii="Times New Roman" w:hAnsi="Times New Roman"/>
          <w:sz w:val="24"/>
        </w:rPr>
        <w:t>propojen tak do centrální vizualizace.</w:t>
      </w:r>
    </w:p>
    <w:p>
      <w:pPr>
        <w:pStyle w:val="Tlotextu"/>
        <w:spacing w:lineRule="atLeast" w:line="0" w:before="57" w:after="57"/>
        <w:ind w:left="0" w:right="0" w:hanging="0"/>
        <w:jc w:val="both"/>
        <w:rPr/>
      </w:pPr>
      <w:r>
        <w:rPr>
          <w:rFonts w:ascii="Times New Roman" w:hAnsi="Times New Roman"/>
          <w:sz w:val="24"/>
        </w:rPr>
        <w:t xml:space="preserve">Místní ovládání zdroje tepla </w:t>
      </w:r>
      <w:r>
        <w:rPr>
          <w:rFonts w:eastAsia="Times New Roman" w:cs="Times New Roman" w:ascii="Times New Roman" w:hAnsi="Times New Roman"/>
          <w:color w:val="auto"/>
          <w:sz w:val="24"/>
          <w:szCs w:val="20"/>
          <w:lang w:val="cs-CZ" w:eastAsia="zh-CN" w:bidi="ar-SA"/>
        </w:rPr>
        <w:t>je navrženo</w:t>
      </w:r>
      <w:r>
        <w:rPr>
          <w:rFonts w:ascii="Times New Roman" w:hAnsi="Times New Roman"/>
          <w:sz w:val="24"/>
        </w:rPr>
        <w:t xml:space="preserve"> z nového ovládacího panelu  </w:t>
      </w:r>
      <w:r>
        <w:rPr>
          <w:rFonts w:eastAsia="Times New Roman" w:cs="Times New Roman" w:ascii="Times New Roman" w:hAnsi="Times New Roman"/>
          <w:color w:val="auto"/>
          <w:sz w:val="24"/>
          <w:szCs w:val="20"/>
          <w:lang w:val="cs-CZ" w:eastAsia="zh-CN" w:bidi="ar-SA"/>
        </w:rPr>
        <w:t xml:space="preserve">SIEMENS </w:t>
      </w:r>
      <w:r>
        <w:rPr>
          <w:rFonts w:eastAsia="Times New Roman" w:cs="Times New Roman" w:ascii="Times New Roman" w:hAnsi="Times New Roman"/>
          <w:color w:val="000000"/>
          <w:sz w:val="24"/>
          <w:szCs w:val="24"/>
          <w:lang w:val="cs-CZ" w:eastAsia="zh-CN" w:bidi="ar-SA"/>
        </w:rPr>
        <w:t>PXM20-E.</w:t>
      </w:r>
    </w:p>
    <w:p>
      <w:pPr>
        <w:pStyle w:val="Normal"/>
        <w:spacing w:lineRule="atLeast" w:line="240" w:before="170" w:after="113"/>
        <w:rPr>
          <w:b/>
          <w:b/>
          <w:bCs/>
          <w:sz w:val="24"/>
          <w:szCs w:val="24"/>
        </w:rPr>
      </w:pPr>
      <w:r>
        <w:rPr>
          <w:b/>
          <w:bCs/>
          <w:sz w:val="24"/>
          <w:szCs w:val="24"/>
        </w:rPr>
        <w:t>SEZNAM OKRUHŮ</w:t>
      </w:r>
    </w:p>
    <w:p>
      <w:pPr>
        <w:pStyle w:val="Normal"/>
        <w:spacing w:lineRule="atLeast" w:line="240" w:before="57" w:after="0"/>
        <w:rPr>
          <w:rFonts w:ascii="Times New Roman" w:hAnsi="Times New Roman" w:cs="Times New Roman"/>
          <w:sz w:val="24"/>
        </w:rPr>
      </w:pPr>
      <w:r>
        <w:rPr>
          <w:rFonts w:cs="Times New Roman" w:ascii="Times New Roman" w:hAnsi="Times New Roman"/>
          <w:sz w:val="24"/>
        </w:rPr>
        <w:t xml:space="preserve">12- MĚŘENÍ TEPLOT </w:t>
      </w:r>
    </w:p>
    <w:p>
      <w:pPr>
        <w:pStyle w:val="Normal"/>
        <w:spacing w:lineRule="atLeast" w:line="240" w:before="57" w:after="0"/>
        <w:jc w:val="both"/>
        <w:rPr>
          <w:rFonts w:ascii="Times New Roman" w:hAnsi="Times New Roman" w:cs="Times New Roman"/>
          <w:sz w:val="24"/>
        </w:rPr>
      </w:pPr>
      <w:r>
        <w:rPr>
          <w:rFonts w:cs="Times New Roman" w:ascii="Times New Roman" w:hAnsi="Times New Roman"/>
          <w:sz w:val="24"/>
        </w:rPr>
        <w:t>13 -MĚŘENÍ TLAKŮ</w:t>
      </w:r>
    </w:p>
    <w:p>
      <w:pPr>
        <w:pStyle w:val="Normal"/>
        <w:spacing w:lineRule="atLeast" w:line="240" w:before="57" w:after="0"/>
        <w:rPr>
          <w:rFonts w:ascii="Times New Roman" w:hAnsi="Times New Roman" w:cs="Times New Roman"/>
          <w:sz w:val="24"/>
        </w:rPr>
      </w:pPr>
      <w:r>
        <w:rPr>
          <w:rFonts w:cs="Times New Roman" w:ascii="Times New Roman" w:hAnsi="Times New Roman"/>
          <w:sz w:val="24"/>
        </w:rPr>
        <w:t>04- OVLÁDÁNÍ VENTILŮ</w:t>
      </w:r>
    </w:p>
    <w:p>
      <w:pPr>
        <w:pStyle w:val="Normal"/>
        <w:spacing w:lineRule="atLeast" w:line="240" w:before="57" w:after="0"/>
        <w:rPr/>
      </w:pPr>
      <w:r>
        <w:rPr>
          <w:rFonts w:cs="Times New Roman" w:ascii="Times New Roman" w:hAnsi="Times New Roman"/>
          <w:sz w:val="24"/>
        </w:rPr>
        <w:t xml:space="preserve">17- BLOKACE </w:t>
      </w:r>
      <w:r>
        <w:rPr>
          <w:rFonts w:eastAsia="Times New Roman" w:cs="Times New Roman" w:ascii="Times New Roman" w:hAnsi="Times New Roman"/>
          <w:color w:val="auto"/>
          <w:sz w:val="24"/>
          <w:szCs w:val="22"/>
          <w:lang w:val="cs-CZ" w:eastAsia="zh-CN" w:bidi="ar-SA"/>
        </w:rPr>
        <w:t>VYVÍJEČE</w:t>
      </w:r>
    </w:p>
    <w:p>
      <w:pPr>
        <w:pStyle w:val="Normal"/>
        <w:spacing w:lineRule="atLeast" w:line="240" w:before="57" w:after="0"/>
        <w:rPr/>
      </w:pPr>
      <w:r>
        <w:rPr>
          <w:rFonts w:cs="Times New Roman" w:ascii="Times New Roman" w:hAnsi="Times New Roman"/>
          <w:sz w:val="24"/>
        </w:rPr>
        <w:t xml:space="preserve">18- OVLÁDÁNÍ </w:t>
      </w:r>
      <w:r>
        <w:rPr>
          <w:rFonts w:eastAsia="Times New Roman" w:cs="Times New Roman" w:ascii="Times New Roman" w:hAnsi="Times New Roman"/>
          <w:color w:val="auto"/>
          <w:sz w:val="24"/>
          <w:szCs w:val="22"/>
          <w:lang w:val="cs-CZ" w:eastAsia="zh-CN" w:bidi="ar-SA"/>
        </w:rPr>
        <w:t>VYVÍJEČE</w:t>
      </w:r>
    </w:p>
    <w:p>
      <w:pPr>
        <w:pStyle w:val="Normal"/>
        <w:spacing w:lineRule="atLeast" w:line="240" w:before="57" w:after="0"/>
        <w:rPr>
          <w:rFonts w:ascii="Times New Roman" w:hAnsi="Times New Roman" w:cs="Times New Roman"/>
          <w:sz w:val="24"/>
        </w:rPr>
      </w:pPr>
      <w:r>
        <w:rPr>
          <w:rFonts w:cs="Times New Roman" w:ascii="Times New Roman" w:hAnsi="Times New Roman"/>
          <w:sz w:val="24"/>
        </w:rPr>
        <w:t>14- STAVOVÁ HLÁŠENÍ</w:t>
      </w:r>
    </w:p>
    <w:p>
      <w:pPr>
        <w:pStyle w:val="Normal"/>
        <w:spacing w:lineRule="atLeast" w:line="240" w:before="57" w:after="0"/>
        <w:rPr>
          <w:rFonts w:ascii="Times New Roman" w:hAnsi="Times New Roman" w:cs="Times New Roman"/>
          <w:sz w:val="24"/>
        </w:rPr>
      </w:pPr>
      <w:r>
        <w:rPr>
          <w:rFonts w:cs="Times New Roman" w:ascii="Times New Roman" w:hAnsi="Times New Roman"/>
          <w:sz w:val="24"/>
        </w:rPr>
        <w:t xml:space="preserve">16- HLÁŠENÍ PORUCHY </w:t>
      </w:r>
    </w:p>
    <w:p>
      <w:pPr>
        <w:pStyle w:val="Normal"/>
        <w:spacing w:lineRule="atLeast" w:line="240" w:before="57" w:after="0"/>
        <w:rPr>
          <w:rFonts w:ascii="Times New Roman" w:hAnsi="Times New Roman" w:cs="Times New Roman"/>
          <w:sz w:val="24"/>
        </w:rPr>
      </w:pPr>
      <w:r>
        <w:rPr>
          <w:rFonts w:cs="Times New Roman" w:ascii="Times New Roman" w:hAnsi="Times New Roman"/>
          <w:sz w:val="24"/>
        </w:rPr>
        <w:t>15- OVLÁDÁNÍ ČERPADEL</w:t>
      </w:r>
    </w:p>
    <w:p>
      <w:pPr>
        <w:pStyle w:val="Normal"/>
        <w:spacing w:lineRule="atLeast" w:line="240" w:before="57" w:after="0"/>
        <w:rPr>
          <w:rFonts w:ascii="Times New Roman" w:hAnsi="Times New Roman" w:cs="Times New Roman"/>
          <w:sz w:val="24"/>
        </w:rPr>
      </w:pPr>
      <w:r>
        <w:rPr>
          <w:rFonts w:cs="Times New Roman" w:ascii="Times New Roman" w:hAnsi="Times New Roman"/>
          <w:sz w:val="24"/>
        </w:rPr>
        <w:t>10- VĚTRÁNÍ KOTELNY</w:t>
      </w:r>
    </w:p>
    <w:p>
      <w:pPr>
        <w:pStyle w:val="Normal"/>
        <w:spacing w:lineRule="atLeast" w:line="240" w:before="120" w:after="0"/>
        <w:rPr/>
      </w:pPr>
      <w:r>
        <w:rPr>
          <w:rFonts w:cs="Times New Roman" w:ascii="Times New Roman" w:hAnsi="Times New Roman"/>
          <w:sz w:val="24"/>
        </w:rPr>
        <w:t>01-ROZVADĚČ -</w:t>
      </w:r>
      <w:r>
        <w:rPr>
          <w:rFonts w:eastAsia="Times New Roman" w:cs="Times New Roman" w:ascii="Times New Roman" w:hAnsi="Times New Roman"/>
          <w:color w:val="auto"/>
          <w:sz w:val="24"/>
          <w:szCs w:val="22"/>
          <w:lang w:val="cs-CZ" w:eastAsia="zh-CN" w:bidi="ar-SA"/>
        </w:rPr>
        <w:t>nový BI</w:t>
      </w:r>
    </w:p>
    <w:p>
      <w:pPr>
        <w:pStyle w:val="Normal"/>
        <w:spacing w:lineRule="atLeast" w:line="240" w:before="113" w:after="57"/>
        <w:rPr>
          <w:b/>
          <w:b/>
          <w:sz w:val="24"/>
        </w:rPr>
      </w:pPr>
      <w:r>
        <w:rPr>
          <w:b/>
          <w:sz w:val="24"/>
        </w:rPr>
        <w:t xml:space="preserve">POPIS JEDNOTLIVÝCH OKRUHŮ </w:t>
      </w:r>
    </w:p>
    <w:p>
      <w:pPr>
        <w:pStyle w:val="Normal"/>
        <w:spacing w:lineRule="atLeast" w:line="240" w:before="113" w:after="57"/>
        <w:jc w:val="both"/>
        <w:rPr>
          <w:rFonts w:ascii="Times New Roman" w:hAnsi="Times New Roman" w:cs="Times New Roman"/>
          <w:sz w:val="24"/>
          <w:szCs w:val="24"/>
        </w:rPr>
      </w:pPr>
      <w:r>
        <w:rPr>
          <w:rFonts w:cs="Times New Roman" w:ascii="Times New Roman" w:hAnsi="Times New Roman"/>
          <w:sz w:val="24"/>
          <w:szCs w:val="24"/>
        </w:rPr>
        <w:t>12- MĚŘENÍ TEPLOT</w:t>
      </w:r>
    </w:p>
    <w:p>
      <w:pPr>
        <w:pStyle w:val="Normal"/>
        <w:spacing w:lineRule="atLeast" w:line="238" w:before="57" w:after="57"/>
        <w:ind w:left="0" w:right="0" w:hanging="0"/>
        <w:jc w:val="both"/>
        <w:rPr>
          <w:rFonts w:ascii="Times New Roman" w:hAnsi="Times New Roman" w:cs="Times New Roman"/>
          <w:sz w:val="24"/>
        </w:rPr>
      </w:pPr>
      <w:r>
        <w:rPr>
          <w:rFonts w:cs="Times New Roman" w:ascii="Times New Roman" w:hAnsi="Times New Roman"/>
          <w:sz w:val="24"/>
        </w:rPr>
        <w:t>Do regulátoru MaR je zapojeno měření teplot dle schemat obvodů a seznamu datových bodů.</w:t>
      </w:r>
    </w:p>
    <w:p>
      <w:pPr>
        <w:pStyle w:val="Tlotextu"/>
        <w:spacing w:lineRule="atLeast" w:line="238" w:before="57" w:after="57"/>
        <w:ind w:left="0" w:right="0" w:hanging="0"/>
        <w:jc w:val="both"/>
        <w:rPr>
          <w:rFonts w:ascii="Times New Roman" w:hAnsi="Times New Roman"/>
          <w:sz w:val="24"/>
        </w:rPr>
      </w:pPr>
      <w:r>
        <w:rPr>
          <w:rFonts w:ascii="Times New Roman" w:hAnsi="Times New Roman"/>
          <w:sz w:val="24"/>
        </w:rPr>
        <w:t>Pro řízení vytápění budou na výstupech topných větví měřeny teploty. Regulátor dle programu provádí vyhodnocení (to je odchylku od žádané hodnoty ) a provádí akční zásah na výkonovém prvku.</w:t>
      </w:r>
    </w:p>
    <w:p>
      <w:pPr>
        <w:pStyle w:val="Normal"/>
        <w:spacing w:lineRule="atLeast" w:line="238" w:before="57" w:after="57"/>
        <w:ind w:left="0" w:right="0" w:hanging="0"/>
        <w:jc w:val="both"/>
        <w:rPr/>
      </w:pPr>
      <w:r>
        <w:rPr>
          <w:rFonts w:cs="Times New Roman" w:ascii="Times New Roman" w:hAnsi="Times New Roman"/>
          <w:sz w:val="24"/>
        </w:rPr>
        <w:t xml:space="preserve">Pro monitoring a </w:t>
      </w:r>
      <w:r>
        <w:rPr>
          <w:rFonts w:eastAsia="Times New Roman" w:cs="Times New Roman" w:ascii="Times New Roman" w:hAnsi="Times New Roman"/>
          <w:color w:val="auto"/>
          <w:sz w:val="24"/>
          <w:szCs w:val="22"/>
          <w:lang w:val="cs-CZ" w:eastAsia="zh-CN" w:bidi="ar-SA"/>
        </w:rPr>
        <w:t xml:space="preserve">informaci o dostatku tepla pro vytápění </w:t>
      </w:r>
      <w:r>
        <w:rPr>
          <w:rFonts w:cs="Times New Roman" w:ascii="Times New Roman" w:hAnsi="Times New Roman"/>
          <w:sz w:val="24"/>
        </w:rPr>
        <w:t xml:space="preserve">bude </w:t>
      </w:r>
      <w:r>
        <w:rPr>
          <w:rFonts w:eastAsia="Times New Roman" w:cs="Times New Roman" w:ascii="Times New Roman" w:hAnsi="Times New Roman"/>
          <w:color w:val="auto"/>
          <w:sz w:val="24"/>
          <w:szCs w:val="22"/>
          <w:lang w:val="cs-CZ" w:eastAsia="zh-CN" w:bidi="ar-SA"/>
        </w:rPr>
        <w:t>měřena teplota na přívodu do rozdělovače.</w:t>
      </w:r>
      <w:r>
        <w:rPr>
          <w:rFonts w:eastAsia="Times New Roman" w:cs="Times New Roman" w:ascii="Times New Roman" w:hAnsi="Times New Roman"/>
          <w:color w:val="auto"/>
          <w:sz w:val="24"/>
          <w:szCs w:val="24"/>
          <w:lang w:val="cs-CZ" w:eastAsia="zh-CN" w:bidi="ar-SA"/>
        </w:rPr>
        <w:t xml:space="preserve"> Rozdělovač je napojen ze stávající  teplovodní přípojky  z chirurgického pavilonu.</w:t>
      </w:r>
    </w:p>
    <w:p>
      <w:pPr>
        <w:pStyle w:val="Normal"/>
        <w:spacing w:lineRule="atLeast" w:line="238" w:before="57" w:after="57"/>
        <w:ind w:left="0" w:right="0" w:hanging="0"/>
        <w:jc w:val="both"/>
        <w:rPr>
          <w:rFonts w:ascii="Times New Roman" w:hAnsi="Times New Roman" w:cs="Times New Roman"/>
          <w:sz w:val="24"/>
        </w:rPr>
      </w:pPr>
      <w:r>
        <w:rPr>
          <w:rFonts w:cs="Times New Roman" w:ascii="Times New Roman" w:hAnsi="Times New Roman"/>
          <w:sz w:val="24"/>
        </w:rPr>
        <w:t>Pro monitoring a spouštění větrání bude v prostoru kotelny měřena teplota.</w:t>
      </w:r>
    </w:p>
    <w:p>
      <w:pPr>
        <w:pStyle w:val="Normal"/>
        <w:spacing w:lineRule="atLeast" w:line="238" w:before="57" w:after="57"/>
        <w:ind w:left="0" w:right="0" w:hanging="0"/>
        <w:jc w:val="both"/>
        <w:rPr/>
      </w:pPr>
      <w:r>
        <w:rPr>
          <w:rFonts w:cs="Times New Roman" w:ascii="Times New Roman" w:hAnsi="Times New Roman"/>
          <w:sz w:val="24"/>
        </w:rPr>
        <w:t xml:space="preserve">Topné větve pro objekt prádelny jsou rozděleny na jižní a severní část. Jižní část prádelny je ve většině dne stíněna hlavní budovou (nemocnice se nachází </w:t>
      </w:r>
      <w:r>
        <w:rPr>
          <w:rFonts w:eastAsia="Times New Roman" w:cs="Times New Roman" w:ascii="Times New Roman" w:hAnsi="Times New Roman"/>
          <w:color w:val="auto"/>
          <w:kern w:val="0"/>
          <w:sz w:val="24"/>
          <w:szCs w:val="24"/>
          <w:lang w:val="cs-CZ" w:eastAsia="cs-CZ" w:bidi="ar-SA"/>
        </w:rPr>
        <w:t>na</w:t>
      </w:r>
      <w:r>
        <w:rPr>
          <w:rFonts w:cs="Times New Roman" w:ascii="Times New Roman" w:hAnsi="Times New Roman"/>
          <w:sz w:val="24"/>
        </w:rPr>
        <w:t xml:space="preserve"> </w:t>
      </w:r>
      <w:r>
        <w:rPr>
          <w:rFonts w:eastAsia="Times New Roman" w:cs="Times New Roman" w:ascii="Times New Roman" w:hAnsi="Times New Roman"/>
          <w:color w:val="auto"/>
          <w:sz w:val="24"/>
          <w:szCs w:val="22"/>
          <w:lang w:val="cs-CZ" w:eastAsia="zh-CN" w:bidi="ar-SA"/>
        </w:rPr>
        <w:t>jiho-jiho-východním</w:t>
      </w:r>
      <w:r>
        <w:rPr>
          <w:rFonts w:cs="Times New Roman" w:ascii="Times New Roman" w:hAnsi="Times New Roman"/>
          <w:sz w:val="24"/>
        </w:rPr>
        <w:t xml:space="preserve"> svahu údolí Jizery, prádelna je skryta za budovou B. Je proto na zvážení použití samostatného čidla pro jižní část, když vliv oslunění bude minimální.  Hodnoty venkovních teplot pro řízení je navíc možno získat po komunikaci z vizualizace. </w:t>
      </w:r>
      <w:r>
        <w:rPr>
          <w:rFonts w:eastAsia="Times New Roman" w:cs="Times New Roman" w:ascii="Times New Roman" w:hAnsi="Times New Roman"/>
          <w:color w:val="auto"/>
          <w:sz w:val="24"/>
          <w:szCs w:val="22"/>
          <w:lang w:val="cs-CZ" w:eastAsia="zh-CN" w:bidi="ar-SA"/>
        </w:rPr>
        <w:t>V projektu jsou navržena čidla na severní a jižní fasádu, doporučuji osadit jen severní čidlo, pro případ výpadku komunikace jižní teplotu (pokud bude pro řízení použita) získávat z komunikace.</w:t>
      </w:r>
    </w:p>
    <w:p>
      <w:pPr>
        <w:pStyle w:val="Zkladntext21"/>
        <w:spacing w:lineRule="atLeast" w:line="238" w:before="57" w:after="57"/>
        <w:ind w:left="0" w:right="0" w:hanging="0"/>
        <w:rPr>
          <w:rFonts w:ascii="Times New Roman" w:hAnsi="Times New Roman"/>
          <w:b/>
          <w:b/>
          <w:bCs/>
          <w:szCs w:val="24"/>
        </w:rPr>
      </w:pPr>
      <w:r>
        <w:rPr>
          <w:b/>
          <w:bCs/>
          <w:szCs w:val="24"/>
        </w:rPr>
        <w:t>Všechna čidla teploty jsou v dodávce MaR.</w:t>
      </w:r>
    </w:p>
    <w:p>
      <w:pPr>
        <w:pStyle w:val="BodyText2"/>
        <w:spacing w:before="113" w:after="57"/>
        <w:rPr/>
      </w:pPr>
      <w:r>
        <w:rPr/>
        <w:t>13 -MĚŘENÍ TLAKŮ</w:t>
      </w:r>
    </w:p>
    <w:p>
      <w:pPr>
        <w:pStyle w:val="BodyText2"/>
        <w:spacing w:before="57" w:after="57"/>
        <w:rPr/>
      </w:pPr>
      <w:r>
        <w:rPr/>
        <w:t>Na analogový vstup regulátoru bude spojitě měřen tlak v soustavě přívodu zdroje tepla. Hodnoty slouží pro dálkový monitoring a zabránění chodu čerpadel na sucho.</w:t>
      </w:r>
    </w:p>
    <w:p>
      <w:pPr>
        <w:pStyle w:val="Zkladntext21"/>
        <w:rPr>
          <w:b/>
          <w:b/>
          <w:bCs/>
          <w:szCs w:val="24"/>
        </w:rPr>
      </w:pPr>
      <w:r>
        <w:rPr>
          <w:b/>
          <w:bCs/>
          <w:szCs w:val="24"/>
        </w:rPr>
        <w:t>Čidlo tlaku je v dodávce MaR.</w:t>
      </w:r>
    </w:p>
    <w:p>
      <w:pPr>
        <w:pStyle w:val="Normal"/>
        <w:spacing w:lineRule="atLeast" w:line="240" w:before="113" w:after="57"/>
        <w:jc w:val="both"/>
        <w:rPr>
          <w:rFonts w:ascii="Times New Roman" w:hAnsi="Times New Roman" w:cs="Times New Roman"/>
          <w:sz w:val="24"/>
          <w:szCs w:val="24"/>
        </w:rPr>
      </w:pPr>
      <w:r>
        <w:rPr>
          <w:rFonts w:cs="Times New Roman" w:ascii="Times New Roman" w:hAnsi="Times New Roman"/>
          <w:sz w:val="24"/>
          <w:szCs w:val="24"/>
        </w:rPr>
        <w:t xml:space="preserve">04- OVLÁDÁNÍ VENTILŮ </w:t>
      </w:r>
    </w:p>
    <w:p>
      <w:pPr>
        <w:pStyle w:val="Tlotextu"/>
        <w:spacing w:lineRule="atLeast" w:line="240" w:before="57" w:after="57"/>
        <w:ind w:left="0" w:right="0" w:hanging="0"/>
        <w:jc w:val="both"/>
        <w:rPr>
          <w:rFonts w:ascii="Times New Roman" w:hAnsi="Times New Roman"/>
          <w:sz w:val="24"/>
          <w:szCs w:val="24"/>
        </w:rPr>
      </w:pPr>
      <w:r>
        <w:rPr>
          <w:rFonts w:ascii="Times New Roman" w:hAnsi="Times New Roman"/>
          <w:sz w:val="24"/>
          <w:szCs w:val="24"/>
        </w:rPr>
        <w:t>Pro řízení vytápění  budou na výstupech topných větví řízeny trojcestné ventily. Regulátor dle programu provádí vyhodnocení (to je odchylku od žádané hodnoty) a provádí akční zásah na výkonovém prvku. Nastavení topné křivky bude během komplexních zkoušek (během provozu lze měnit), seřízení programu útlumu vytápění bude po dohodě s uživatelem.</w:t>
      </w:r>
    </w:p>
    <w:p>
      <w:pPr>
        <w:pStyle w:val="Nadpis5"/>
        <w:numPr>
          <w:ilvl w:val="0"/>
          <w:numId w:val="0"/>
        </w:numPr>
        <w:spacing w:before="57" w:after="57"/>
        <w:ind w:left="0" w:right="0" w:hanging="0"/>
        <w:jc w:val="both"/>
        <w:rPr>
          <w:rFonts w:ascii="Times New Roman" w:hAnsi="Times New Roman" w:cs="Times New Roman"/>
          <w:b w:val="false"/>
          <w:b w:val="false"/>
          <w:bCs w:val="false"/>
          <w:sz w:val="24"/>
          <w:szCs w:val="24"/>
        </w:rPr>
      </w:pPr>
      <w:r>
        <w:rPr>
          <w:rFonts w:cs="Times New Roman" w:ascii="Times New Roman" w:hAnsi="Times New Roman"/>
          <w:b w:val="false"/>
          <w:bCs w:val="false"/>
          <w:sz w:val="24"/>
          <w:szCs w:val="24"/>
        </w:rPr>
        <w:t>Regulace bude samostatně pro jednotlivé větve ekvitermní, tzn. že podle zvolené topné  křivky (ověřené  komplexní zkouškou) se řídí poloha  ventilu  na  směšovacím okruhu  v závislosti  na  venkovní  teplotě  a  nastaveném programu centrálního útlumu vytápění.</w:t>
      </w:r>
    </w:p>
    <w:p>
      <w:pPr>
        <w:pStyle w:val="Normal"/>
        <w:spacing w:lineRule="atLeast" w:line="238" w:before="57" w:after="57"/>
        <w:jc w:val="both"/>
        <w:rPr/>
      </w:pPr>
      <w:r>
        <w:rPr>
          <w:rFonts w:cs="Times New Roman" w:ascii="Times New Roman" w:hAnsi="Times New Roman"/>
          <w:b/>
          <w:bCs/>
          <w:sz w:val="24"/>
          <w:szCs w:val="24"/>
        </w:rPr>
        <w:t xml:space="preserve">Všechny ventily vč. pohonů 24V/0-10V jsou v dodávce </w:t>
      </w:r>
      <w:r>
        <w:rPr>
          <w:rFonts w:eastAsia="Times New Roman" w:cs="Times New Roman" w:ascii="Times New Roman" w:hAnsi="Times New Roman"/>
          <w:b/>
          <w:bCs/>
          <w:color w:val="auto"/>
          <w:sz w:val="24"/>
          <w:szCs w:val="24"/>
          <w:lang w:val="cs-CZ" w:eastAsia="zh-CN" w:bidi="ar-SA"/>
        </w:rPr>
        <w:t>ÚT.</w:t>
      </w:r>
    </w:p>
    <w:p>
      <w:pPr>
        <w:pStyle w:val="Normal"/>
        <w:spacing w:lineRule="atLeast" w:line="240" w:before="113" w:after="57"/>
        <w:rPr>
          <w:rFonts w:ascii="Times New Roman" w:hAnsi="Times New Roman" w:cs="Times New Roman"/>
          <w:sz w:val="24"/>
        </w:rPr>
      </w:pPr>
      <w:r>
        <w:rPr>
          <w:rFonts w:cs="Times New Roman" w:ascii="Times New Roman" w:hAnsi="Times New Roman"/>
          <w:sz w:val="24"/>
        </w:rPr>
        <w:t>17- BLOKACE KOTELNY</w:t>
      </w:r>
    </w:p>
    <w:p>
      <w:pPr>
        <w:pStyle w:val="Normal"/>
        <w:spacing w:lineRule="atLeast" w:line="240" w:before="57" w:after="57"/>
        <w:jc w:val="both"/>
        <w:rPr/>
      </w:pPr>
      <w:r>
        <w:rPr>
          <w:rFonts w:cs="Times New Roman" w:ascii="Times New Roman" w:hAnsi="Times New Roman"/>
          <w:sz w:val="24"/>
          <w:szCs w:val="24"/>
        </w:rPr>
        <w:t xml:space="preserve">Prostor strojovny je dle normy ČSN 07 0703 plynovou kotelnou III. kategorie- je třeba </w:t>
      </w:r>
      <w:r>
        <w:rPr>
          <w:rFonts w:cs="Times New Roman" w:ascii="Times New Roman" w:hAnsi="Times New Roman"/>
          <w:b/>
          <w:bCs/>
          <w:sz w:val="24"/>
          <w:szCs w:val="24"/>
        </w:rPr>
        <w:t xml:space="preserve">zajistit externí blokaci kotelny -tzn. trvalou blokaci napájení plynových spotřebičů a uzavření přívodu plynu. </w:t>
      </w:r>
    </w:p>
    <w:p>
      <w:pPr>
        <w:pStyle w:val="Normal"/>
        <w:spacing w:lineRule="atLeast" w:line="11" w:before="57" w:after="57"/>
        <w:ind w:left="0" w:right="0" w:hanging="0"/>
        <w:jc w:val="both"/>
        <w:rPr/>
      </w:pPr>
      <w:r>
        <w:rPr>
          <w:rFonts w:cs="Times New Roman" w:ascii="Times New Roman" w:hAnsi="Times New Roman"/>
          <w:b w:val="false"/>
          <w:bCs w:val="false"/>
          <w:sz w:val="24"/>
          <w:szCs w:val="24"/>
        </w:rPr>
        <w:t xml:space="preserve">Dle podkladů </w:t>
      </w:r>
      <w:r>
        <w:rPr>
          <w:rFonts w:eastAsia="Times New Roman" w:cs="Times New Roman" w:ascii="Times New Roman" w:hAnsi="Times New Roman"/>
          <w:b w:val="false"/>
          <w:bCs w:val="false"/>
          <w:color w:val="auto"/>
          <w:sz w:val="24"/>
          <w:szCs w:val="24"/>
          <w:lang w:val="cs-CZ" w:eastAsia="zh-CN" w:bidi="ar-SA"/>
        </w:rPr>
        <w:t>zadavatele</w:t>
      </w:r>
      <w:r>
        <w:rPr>
          <w:rFonts w:cs="Times New Roman" w:ascii="Times New Roman" w:hAnsi="Times New Roman"/>
          <w:b w:val="false"/>
          <w:bCs w:val="false"/>
          <w:sz w:val="24"/>
          <w:szCs w:val="24"/>
        </w:rPr>
        <w:t xml:space="preserve"> </w:t>
      </w:r>
      <w:r>
        <w:rPr>
          <w:rFonts w:eastAsia="Times New Roman" w:cs="Times New Roman" w:ascii="Times New Roman" w:hAnsi="Times New Roman"/>
          <w:b w:val="false"/>
          <w:bCs w:val="false"/>
          <w:color w:val="auto"/>
          <w:sz w:val="24"/>
          <w:szCs w:val="24"/>
          <w:lang w:val="cs-CZ" w:eastAsia="zh-CN" w:bidi="ar-SA"/>
        </w:rPr>
        <w:t>bude n</w:t>
      </w:r>
      <w:r>
        <w:rPr>
          <w:rFonts w:cs="Times New Roman" w:ascii="Times New Roman" w:hAnsi="Times New Roman"/>
          <w:b w:val="false"/>
          <w:bCs w:val="false"/>
          <w:sz w:val="24"/>
          <w:szCs w:val="24"/>
        </w:rPr>
        <w:t xml:space="preserve">avržený vyvíječ páry s napájecím blokem </w:t>
      </w:r>
      <w:r>
        <w:rPr>
          <w:rFonts w:eastAsia="Times New Roman" w:cs="Times New Roman" w:ascii="Times New Roman" w:hAnsi="Times New Roman"/>
          <w:b w:val="false"/>
          <w:bCs w:val="false"/>
          <w:color w:val="auto"/>
          <w:sz w:val="24"/>
          <w:szCs w:val="24"/>
          <w:lang w:val="cs-CZ" w:eastAsia="zh-CN" w:bidi="ar-SA"/>
        </w:rPr>
        <w:t>dodán s</w:t>
      </w:r>
      <w:r>
        <w:rPr>
          <w:rFonts w:cs="Times New Roman" w:ascii="Times New Roman" w:hAnsi="Times New Roman"/>
          <w:b w:val="false"/>
          <w:bCs w:val="false"/>
          <w:sz w:val="24"/>
          <w:szCs w:val="24"/>
        </w:rPr>
        <w:t xml:space="preserve"> vlastním řídícím systémem včetně kompletního zabezpečení BOsB, umístěném ve vlastním rozvaděči ve strojovně. Dodavatel vyžaduje pouze zabezpečení prostoru kotelny formou uzavření přívodu plynu a vypnutí vyvíječe při těchto stavech :</w:t>
      </w:r>
    </w:p>
    <w:p>
      <w:pPr>
        <w:pStyle w:val="Zkladntext31"/>
        <w:numPr>
          <w:ilvl w:val="0"/>
          <w:numId w:val="6"/>
        </w:numPr>
        <w:spacing w:before="0" w:after="60"/>
        <w:ind w:left="1077" w:right="0" w:hanging="357"/>
        <w:rPr/>
      </w:pPr>
      <w:r>
        <w:rPr/>
        <w:t>při překročení 2. stupně detekce plynu v prostoru kotle  - tj nárůst koncentrace plynu nad  20%  spodní meze výbušnosti -zároveň se spouští větrání</w:t>
      </w:r>
    </w:p>
    <w:p>
      <w:pPr>
        <w:pStyle w:val="Normal"/>
        <w:widowControl w:val="false"/>
        <w:numPr>
          <w:ilvl w:val="0"/>
          <w:numId w:val="6"/>
        </w:numPr>
        <w:spacing w:lineRule="atLeast" w:line="240" w:before="0" w:after="60"/>
        <w:ind w:left="1077" w:right="0" w:hanging="357"/>
        <w:jc w:val="both"/>
        <w:rPr>
          <w:rFonts w:ascii="Times New Roman" w:hAnsi="Times New Roman" w:cs="Times New Roman"/>
          <w:iCs/>
          <w:sz w:val="24"/>
        </w:rPr>
      </w:pPr>
      <w:r>
        <w:rPr>
          <w:rFonts w:cs="Times New Roman" w:ascii="Times New Roman" w:hAnsi="Times New Roman"/>
          <w:iCs/>
          <w:sz w:val="24"/>
        </w:rPr>
        <w:t>při zmáčknutí tlačítka STOP v prostoru kotelny a na rozvaděči.</w:t>
      </w:r>
    </w:p>
    <w:p>
      <w:pPr>
        <w:pStyle w:val="Normal"/>
        <w:widowControl w:val="false"/>
        <w:numPr>
          <w:ilvl w:val="0"/>
          <w:numId w:val="6"/>
        </w:numPr>
        <w:spacing w:lineRule="atLeast" w:line="240" w:before="0" w:after="60"/>
        <w:ind w:left="1077" w:right="0" w:hanging="357"/>
        <w:jc w:val="both"/>
        <w:rPr/>
      </w:pPr>
      <w:r>
        <w:rPr>
          <w:rFonts w:cs="Times New Roman" w:ascii="Times New Roman" w:hAnsi="Times New Roman"/>
          <w:iCs/>
          <w:sz w:val="24"/>
        </w:rPr>
        <w:t xml:space="preserve">překročení teploty v prostoru nad  40 </w:t>
      </w:r>
      <w:r>
        <w:rPr>
          <w:rFonts w:cs="Times New Roman" w:ascii="Times New Roman" w:hAnsi="Times New Roman"/>
          <w:iCs/>
          <w:sz w:val="24"/>
          <w:vertAlign w:val="superscript"/>
        </w:rPr>
        <w:t>0</w:t>
      </w:r>
      <w:r>
        <w:rPr>
          <w:rFonts w:cs="Times New Roman" w:ascii="Times New Roman" w:hAnsi="Times New Roman"/>
          <w:iCs/>
          <w:sz w:val="24"/>
        </w:rPr>
        <w:t>C  -zároveň se spouští větrání</w:t>
      </w:r>
    </w:p>
    <w:p>
      <w:pPr>
        <w:pStyle w:val="Normal"/>
        <w:widowControl w:val="false"/>
        <w:numPr>
          <w:ilvl w:val="0"/>
          <w:numId w:val="6"/>
        </w:numPr>
        <w:spacing w:lineRule="atLeast" w:line="240" w:before="0" w:after="60"/>
        <w:ind w:left="1077" w:right="0" w:hanging="357"/>
        <w:jc w:val="both"/>
        <w:rPr>
          <w:rFonts w:ascii="Times New Roman" w:hAnsi="Times New Roman" w:cs="Times New Roman"/>
          <w:iCs/>
          <w:sz w:val="24"/>
        </w:rPr>
      </w:pPr>
      <w:r>
        <w:rPr>
          <w:rFonts w:cs="Times New Roman" w:ascii="Times New Roman" w:hAnsi="Times New Roman"/>
          <w:iCs/>
          <w:sz w:val="24"/>
        </w:rPr>
        <w:t xml:space="preserve">při zaplavení prostoru kotelny </w:t>
      </w:r>
    </w:p>
    <w:p>
      <w:pPr>
        <w:pStyle w:val="Normal"/>
        <w:widowControl w:val="false"/>
        <w:numPr>
          <w:ilvl w:val="0"/>
          <w:numId w:val="6"/>
        </w:numPr>
        <w:spacing w:lineRule="atLeast" w:line="240" w:before="0" w:after="60"/>
        <w:ind w:left="1077" w:right="0" w:hanging="357"/>
        <w:jc w:val="both"/>
        <w:rPr>
          <w:rFonts w:ascii="Times New Roman" w:hAnsi="Times New Roman" w:cs="Times New Roman"/>
          <w:iCs/>
          <w:sz w:val="24"/>
        </w:rPr>
      </w:pPr>
      <w:r>
        <w:rPr>
          <w:rFonts w:cs="Times New Roman" w:ascii="Times New Roman" w:hAnsi="Times New Roman"/>
          <w:iCs/>
          <w:sz w:val="24"/>
        </w:rPr>
        <w:t>při požáru v objektu (rezerva případného rozpínacího kontaktu z EPS)</w:t>
      </w:r>
    </w:p>
    <w:p>
      <w:pPr>
        <w:pStyle w:val="Normal"/>
        <w:widowControl w:val="false"/>
        <w:numPr>
          <w:ilvl w:val="0"/>
          <w:numId w:val="6"/>
        </w:numPr>
        <w:spacing w:lineRule="atLeast" w:line="240" w:before="0" w:after="60"/>
        <w:ind w:left="1077" w:right="0" w:hanging="357"/>
        <w:jc w:val="both"/>
        <w:rPr>
          <w:rFonts w:ascii="Times New Roman" w:hAnsi="Times New Roman" w:cs="Times New Roman"/>
          <w:sz w:val="24"/>
        </w:rPr>
      </w:pPr>
      <w:r>
        <w:rPr>
          <w:rFonts w:cs="Times New Roman" w:ascii="Times New Roman" w:hAnsi="Times New Roman"/>
          <w:sz w:val="24"/>
        </w:rPr>
        <w:t xml:space="preserve">při zaplavení prostoru kotelny </w:t>
      </w:r>
    </w:p>
    <w:p>
      <w:pPr>
        <w:pStyle w:val="Normal"/>
        <w:widowControl w:val="false"/>
        <w:numPr>
          <w:ilvl w:val="0"/>
          <w:numId w:val="6"/>
        </w:numPr>
        <w:spacing w:lineRule="atLeast" w:line="240" w:before="57" w:after="57"/>
        <w:ind w:left="1077" w:right="0" w:hanging="357"/>
        <w:jc w:val="both"/>
        <w:rPr>
          <w:rFonts w:ascii="Times New Roman" w:hAnsi="Times New Roman" w:cs="Times New Roman"/>
          <w:sz w:val="24"/>
        </w:rPr>
      </w:pPr>
      <w:r>
        <w:rPr>
          <w:rFonts w:cs="Times New Roman" w:ascii="Times New Roman" w:hAnsi="Times New Roman"/>
          <w:sz w:val="24"/>
        </w:rPr>
        <w:t>při výpadku elektrické energie</w:t>
      </w:r>
    </w:p>
    <w:p>
      <w:pPr>
        <w:pStyle w:val="Normal"/>
        <w:widowControl w:val="false"/>
        <w:numPr>
          <w:ilvl w:val="0"/>
          <w:numId w:val="6"/>
        </w:numPr>
        <w:spacing w:lineRule="atLeast" w:line="240" w:before="0" w:after="57"/>
        <w:ind w:left="1077" w:right="0" w:hanging="357"/>
        <w:jc w:val="both"/>
        <w:rPr>
          <w:rFonts w:ascii="Times New Roman" w:hAnsi="Times New Roman" w:cs="Times New Roman"/>
          <w:sz w:val="24"/>
        </w:rPr>
      </w:pPr>
      <w:r>
        <w:rPr>
          <w:rFonts w:cs="Times New Roman" w:ascii="Times New Roman" w:hAnsi="Times New Roman"/>
          <w:sz w:val="24"/>
        </w:rPr>
        <w:t>při zavření relé ovládaného ze systému MaR  (softwarové odstavení)</w:t>
      </w:r>
    </w:p>
    <w:p>
      <w:pPr>
        <w:pStyle w:val="Normal"/>
        <w:widowControl w:val="false"/>
        <w:spacing w:lineRule="atLeast" w:line="240" w:before="57" w:after="57"/>
        <w:jc w:val="both"/>
        <w:rPr/>
      </w:pPr>
      <w:r>
        <w:rPr>
          <w:rFonts w:cs="Times New Roman" w:ascii="Times New Roman" w:hAnsi="Times New Roman"/>
          <w:sz w:val="24"/>
          <w:szCs w:val="24"/>
        </w:rPr>
        <w:t xml:space="preserve">Tyto alarmové stavy jsou hlášeny na ovládacím panelu regulátoru, v prostoru pomocí houkačky (nebo blikajícího svítidla či majáčku) </w:t>
      </w:r>
      <w:r>
        <w:rPr>
          <w:rFonts w:eastAsia="Times New Roman" w:cs="Times New Roman" w:ascii="Times New Roman" w:hAnsi="Times New Roman"/>
          <w:color w:val="auto"/>
          <w:sz w:val="24"/>
          <w:szCs w:val="24"/>
          <w:lang w:val="cs-CZ" w:eastAsia="zh-CN" w:bidi="ar-SA"/>
        </w:rPr>
        <w:t>a na centrální vizualizaci</w:t>
      </w:r>
      <w:r>
        <w:rPr>
          <w:rFonts w:cs="Times New Roman" w:ascii="Times New Roman" w:hAnsi="Times New Roman"/>
          <w:sz w:val="24"/>
          <w:szCs w:val="24"/>
        </w:rPr>
        <w:t>.  Pro odstranění poruchy se musí stisknout tlačítko RESET na panelu rozvaděče. V případě, že je vše v pořádku, svítí na panelu rozvaděče kontrolka "</w:t>
      </w:r>
      <w:r>
        <w:rPr>
          <w:rFonts w:eastAsia="Times New Roman" w:cs="Times New Roman" w:ascii="Times New Roman" w:hAnsi="Times New Roman"/>
          <w:color w:val="auto"/>
          <w:sz w:val="24"/>
          <w:szCs w:val="24"/>
          <w:lang w:val="cs-CZ" w:eastAsia="zh-CN" w:bidi="ar-SA"/>
        </w:rPr>
        <w:t>přívod plynu otevřen</w:t>
      </w:r>
      <w:r>
        <w:rPr>
          <w:rFonts w:cs="Times New Roman" w:ascii="Times New Roman" w:hAnsi="Times New Roman"/>
          <w:sz w:val="24"/>
          <w:szCs w:val="24"/>
        </w:rPr>
        <w:t>".</w:t>
      </w:r>
    </w:p>
    <w:p>
      <w:pPr>
        <w:pStyle w:val="Nadpiszkladn"/>
        <w:keepNext w:val="false"/>
        <w:keepLines w:val="false"/>
        <w:tabs>
          <w:tab w:val="clear" w:pos="284"/>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s>
        <w:spacing w:lineRule="atLeast" w:line="240" w:before="57" w:after="57"/>
        <w:rPr>
          <w:rFonts w:ascii="Times New Roman" w:hAnsi="Times New Roman" w:cs="Times New Roman"/>
          <w:kern w:val="0"/>
        </w:rPr>
      </w:pPr>
      <w:r>
        <w:rPr>
          <w:rFonts w:cs="Times New Roman" w:ascii="Times New Roman" w:hAnsi="Times New Roman"/>
          <w:kern w:val="0"/>
        </w:rPr>
        <w:t>Systém by měl dále vyhlásit poplach a při opakovaném trvání poruchy případně pomocí blokačního relé softwarově odstavit kotle při těchto dalších stavech:</w:t>
      </w:r>
    </w:p>
    <w:p>
      <w:pPr>
        <w:pStyle w:val="Normal"/>
        <w:widowControl w:val="false"/>
        <w:numPr>
          <w:ilvl w:val="0"/>
          <w:numId w:val="4"/>
        </w:numPr>
        <w:spacing w:lineRule="atLeast" w:line="240" w:before="0" w:after="40"/>
        <w:ind w:left="1077" w:right="0" w:hanging="357"/>
        <w:jc w:val="both"/>
        <w:rPr>
          <w:rFonts w:ascii="Times New Roman" w:hAnsi="Times New Roman" w:cs="Times New Roman"/>
          <w:sz w:val="24"/>
        </w:rPr>
      </w:pPr>
      <w:r>
        <w:rPr>
          <w:rFonts w:cs="Times New Roman" w:ascii="Times New Roman" w:hAnsi="Times New Roman"/>
          <w:sz w:val="24"/>
        </w:rPr>
        <w:t>při překročení 1. stupně detekce plynu v prostoru -zároveň se spouští větrání</w:t>
      </w:r>
    </w:p>
    <w:p>
      <w:pPr>
        <w:pStyle w:val="Normal"/>
        <w:widowControl w:val="false"/>
        <w:numPr>
          <w:ilvl w:val="0"/>
          <w:numId w:val="4"/>
        </w:numPr>
        <w:spacing w:lineRule="atLeast" w:line="240" w:before="0" w:after="40"/>
        <w:ind w:left="1077" w:right="0" w:hanging="357"/>
        <w:jc w:val="both"/>
        <w:rPr>
          <w:rFonts w:ascii="Times New Roman" w:hAnsi="Times New Roman" w:cs="Times New Roman"/>
          <w:iCs/>
          <w:sz w:val="24"/>
        </w:rPr>
      </w:pPr>
      <w:r>
        <w:rPr>
          <w:rFonts w:cs="Times New Roman" w:ascii="Times New Roman" w:hAnsi="Times New Roman"/>
          <w:iCs/>
          <w:sz w:val="24"/>
        </w:rPr>
        <w:t>při úniku CO 25ppm -zároveň se spouští větrání, při 125ppm ihned softwarové odstavení.</w:t>
      </w:r>
    </w:p>
    <w:p>
      <w:pPr>
        <w:pStyle w:val="Nadpiszkladn"/>
        <w:keepNext w:val="false"/>
        <w:keepLines w:val="false"/>
        <w:widowControl w:val="false"/>
        <w:tabs>
          <w:tab w:val="clear" w:pos="284"/>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s>
        <w:spacing w:lineRule="atLeast" w:line="240" w:before="0" w:after="120"/>
        <w:rPr>
          <w:rFonts w:ascii="Times New Roman" w:hAnsi="Times New Roman" w:cs="Times New Roman"/>
          <w:spacing w:val="0"/>
          <w:kern w:val="0"/>
          <w:szCs w:val="24"/>
        </w:rPr>
      </w:pPr>
      <w:r>
        <w:rPr>
          <w:rFonts w:cs="Times New Roman" w:ascii="Times New Roman" w:hAnsi="Times New Roman"/>
          <w:spacing w:val="0"/>
          <w:kern w:val="0"/>
          <w:szCs w:val="24"/>
        </w:rPr>
      </w:r>
    </w:p>
    <w:p>
      <w:pPr>
        <w:pStyle w:val="Nadpiszkladn"/>
        <w:widowControl w:val="false"/>
        <w:tabs>
          <w:tab w:val="clear" w:pos="284"/>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s>
        <w:spacing w:lineRule="atLeast" w:line="240" w:before="0" w:after="120"/>
        <w:rPr/>
      </w:pPr>
      <w:r>
        <w:rPr>
          <w:rFonts w:cs="Times New Roman" w:ascii="Times New Roman" w:hAnsi="Times New Roman"/>
          <w:spacing w:val="0"/>
          <w:kern w:val="0"/>
          <w:szCs w:val="24"/>
        </w:rPr>
        <w:t xml:space="preserve">Tyto alarmové stavy budou taktéž hlášeny na ovládacím panelu </w:t>
      </w:r>
      <w:r>
        <w:rPr>
          <w:rFonts w:eastAsia="Times New Roman" w:cs="Times New Roman" w:ascii="Times New Roman" w:hAnsi="Times New Roman"/>
          <w:color w:val="auto"/>
          <w:spacing w:val="0"/>
          <w:kern w:val="0"/>
          <w:sz w:val="24"/>
          <w:szCs w:val="24"/>
          <w:lang w:val="cs-CZ" w:eastAsia="zh-CN" w:bidi="ar-SA"/>
        </w:rPr>
        <w:t>a na centrální vizualizaci</w:t>
      </w:r>
      <w:r>
        <w:rPr>
          <w:rFonts w:cs="Times New Roman" w:ascii="Times New Roman" w:hAnsi="Times New Roman"/>
          <w:spacing w:val="0"/>
          <w:kern w:val="0"/>
          <w:sz w:val="24"/>
          <w:szCs w:val="24"/>
        </w:rPr>
        <w:t>.</w:t>
      </w:r>
    </w:p>
    <w:p>
      <w:pPr>
        <w:pStyle w:val="Normal"/>
        <w:spacing w:lineRule="atLeast" w:line="240" w:before="113" w:after="57"/>
        <w:rPr>
          <w:rFonts w:ascii="Times New Roman" w:hAnsi="Times New Roman" w:cs="Times New Roman"/>
          <w:sz w:val="24"/>
          <w:szCs w:val="24"/>
        </w:rPr>
      </w:pPr>
      <w:r>
        <w:rPr>
          <w:rFonts w:cs="Times New Roman" w:ascii="Times New Roman" w:hAnsi="Times New Roman"/>
          <w:sz w:val="24"/>
          <w:szCs w:val="24"/>
        </w:rPr>
        <w:t>14- STAVOVÁ HLÁŠENÍ</w:t>
      </w:r>
    </w:p>
    <w:p>
      <w:pPr>
        <w:pStyle w:val="Normal"/>
        <w:spacing w:lineRule="atLeast" w:line="240" w:before="57" w:after="0"/>
        <w:rPr/>
      </w:pPr>
      <w:r>
        <w:rPr>
          <w:rFonts w:cs="Times New Roman" w:ascii="Times New Roman" w:hAnsi="Times New Roman"/>
          <w:sz w:val="24"/>
          <w:szCs w:val="24"/>
        </w:rPr>
        <w:t>Na BI vstupy systému MaR bude zapojen detektor úniku CO. Systém p</w:t>
      </w:r>
      <w:r>
        <w:rPr>
          <w:rFonts w:cs="Times New Roman" w:ascii="Times New Roman" w:hAnsi="Times New Roman"/>
          <w:iCs/>
          <w:sz w:val="24"/>
          <w:szCs w:val="24"/>
        </w:rPr>
        <w:t>ři úniku CO 25ppm - spouští větrání, při 125ppm provede ihned softwarové odstavení.</w:t>
      </w:r>
    </w:p>
    <w:p>
      <w:pPr>
        <w:pStyle w:val="Normal"/>
        <w:spacing w:lineRule="exact" w:line="240" w:before="113" w:after="57"/>
        <w:rPr/>
      </w:pPr>
      <w:r>
        <w:rPr>
          <w:rFonts w:cs="Times New Roman" w:ascii="Times New Roman" w:hAnsi="Times New Roman"/>
          <w:sz w:val="24"/>
          <w:szCs w:val="24"/>
        </w:rPr>
        <w:t>18- OVL</w:t>
      </w:r>
      <w:r>
        <w:rPr>
          <w:rFonts w:eastAsia="Times New Roman" w:cs="Times New Roman" w:ascii="Times New Roman" w:hAnsi="Times New Roman"/>
          <w:color w:val="auto"/>
          <w:sz w:val="24"/>
          <w:szCs w:val="24"/>
          <w:lang w:val="cs-CZ" w:eastAsia="zh-CN" w:bidi="ar-SA"/>
        </w:rPr>
        <w:t>ÁDÁNÍ VYVÍJEČE</w:t>
      </w:r>
    </w:p>
    <w:p>
      <w:pPr>
        <w:pStyle w:val="Normal"/>
        <w:spacing w:lineRule="atLeast" w:line="11" w:before="57" w:after="57"/>
        <w:ind w:left="0" w:right="0" w:hanging="0"/>
        <w:jc w:val="both"/>
        <w:rPr/>
      </w:pPr>
      <w:r>
        <w:rPr>
          <w:rFonts w:cs="Times New Roman" w:ascii="Times New Roman" w:hAnsi="Times New Roman"/>
          <w:b w:val="false"/>
          <w:bCs w:val="false"/>
          <w:sz w:val="24"/>
          <w:szCs w:val="24"/>
        </w:rPr>
        <w:t xml:space="preserve">Dle podkladů </w:t>
      </w:r>
      <w:r>
        <w:rPr>
          <w:rFonts w:eastAsia="Times New Roman" w:cs="Times New Roman" w:ascii="Times New Roman" w:hAnsi="Times New Roman"/>
          <w:b w:val="false"/>
          <w:bCs w:val="false"/>
          <w:color w:val="auto"/>
          <w:sz w:val="24"/>
          <w:szCs w:val="24"/>
          <w:lang w:val="cs-CZ" w:eastAsia="zh-CN" w:bidi="ar-SA"/>
        </w:rPr>
        <w:t>zadavatele</w:t>
      </w:r>
      <w:r>
        <w:rPr>
          <w:rFonts w:cs="Times New Roman" w:ascii="Times New Roman" w:hAnsi="Times New Roman"/>
          <w:b w:val="false"/>
          <w:bCs w:val="false"/>
          <w:sz w:val="24"/>
          <w:szCs w:val="24"/>
        </w:rPr>
        <w:t xml:space="preserve"> </w:t>
      </w:r>
      <w:r>
        <w:rPr>
          <w:rFonts w:eastAsia="Times New Roman" w:cs="Times New Roman" w:ascii="Times New Roman" w:hAnsi="Times New Roman"/>
          <w:b w:val="false"/>
          <w:bCs w:val="false"/>
          <w:color w:val="auto"/>
          <w:sz w:val="24"/>
          <w:szCs w:val="24"/>
          <w:lang w:val="cs-CZ" w:eastAsia="zh-CN" w:bidi="ar-SA"/>
        </w:rPr>
        <w:t>bude n</w:t>
      </w:r>
      <w:r>
        <w:rPr>
          <w:rFonts w:cs="Times New Roman" w:ascii="Times New Roman" w:hAnsi="Times New Roman"/>
          <w:b w:val="false"/>
          <w:bCs w:val="false"/>
          <w:sz w:val="24"/>
          <w:szCs w:val="24"/>
        </w:rPr>
        <w:t xml:space="preserve">avržený vyvíječ páry s napájecím blokem </w:t>
      </w:r>
      <w:r>
        <w:rPr>
          <w:rFonts w:eastAsia="Times New Roman" w:cs="Times New Roman" w:ascii="Times New Roman" w:hAnsi="Times New Roman"/>
          <w:b w:val="false"/>
          <w:bCs w:val="false"/>
          <w:color w:val="auto"/>
          <w:sz w:val="24"/>
          <w:szCs w:val="24"/>
          <w:lang w:val="cs-CZ" w:eastAsia="zh-CN" w:bidi="ar-SA"/>
        </w:rPr>
        <w:t>dodán s</w:t>
      </w:r>
      <w:r>
        <w:rPr>
          <w:rFonts w:cs="Times New Roman" w:ascii="Times New Roman" w:hAnsi="Times New Roman"/>
          <w:b w:val="false"/>
          <w:bCs w:val="false"/>
          <w:sz w:val="24"/>
          <w:szCs w:val="24"/>
        </w:rPr>
        <w:t xml:space="preserve"> vlastním řídícím systémem včetně kompletního zabezpečení BOsB, umístěném ve vlastním rozvaděči ve strojovně.  Vyvíječ bude přes kontakt vypnutí blokován dle části 17, z vyvíječe bude do MaR hlášen chod a porucha.</w:t>
      </w:r>
    </w:p>
    <w:p>
      <w:pPr>
        <w:pStyle w:val="Normal"/>
        <w:spacing w:lineRule="exact" w:line="240" w:before="113" w:after="57"/>
        <w:rPr>
          <w:rFonts w:ascii="Times New Roman" w:hAnsi="Times New Roman" w:cs="Times New Roman"/>
          <w:sz w:val="24"/>
          <w:szCs w:val="24"/>
        </w:rPr>
      </w:pPr>
      <w:r>
        <w:rPr>
          <w:rFonts w:cs="Times New Roman" w:ascii="Times New Roman" w:hAnsi="Times New Roman"/>
          <w:sz w:val="24"/>
          <w:szCs w:val="24"/>
        </w:rPr>
        <w:t>16- HLÁŠENÍ PORUCHY</w:t>
      </w:r>
    </w:p>
    <w:p>
      <w:pPr>
        <w:pStyle w:val="Tlotextu"/>
        <w:spacing w:lineRule="atLeast" w:line="238" w:before="57" w:after="57"/>
        <w:ind w:left="0" w:right="0" w:hanging="0"/>
        <w:jc w:val="both"/>
        <w:rPr>
          <w:rFonts w:ascii="Times New Roman" w:hAnsi="Times New Roman"/>
          <w:sz w:val="24"/>
        </w:rPr>
      </w:pPr>
      <w:r>
        <w:rPr>
          <w:rFonts w:ascii="Times New Roman" w:hAnsi="Times New Roman"/>
          <w:sz w:val="24"/>
        </w:rPr>
        <w:t xml:space="preserve">Do  určeného prostoru bude umístěna houkačka pro hlášení sumární poruchy s kontrolkou na panelu rozvaděče. Houkačka bude zapínána dle popisu části 17. </w:t>
      </w:r>
    </w:p>
    <w:p>
      <w:pPr>
        <w:pStyle w:val="Tlotextu"/>
        <w:spacing w:lineRule="atLeast" w:line="238" w:before="57" w:after="57"/>
        <w:ind w:left="0" w:right="0" w:hanging="0"/>
        <w:jc w:val="both"/>
        <w:rPr/>
      </w:pPr>
      <w:r>
        <w:rPr>
          <w:rFonts w:ascii="Times New Roman" w:hAnsi="Times New Roman"/>
          <w:sz w:val="24"/>
        </w:rPr>
        <w:t xml:space="preserve">Houkačku je dle případného požadavku investora možno nahradit majáčkem nebo svítidlem, umístěným do místa trvalé obsluhy. Houkačka vyhlašuje poplach při havárii (odstaveni </w:t>
      </w:r>
      <w:r>
        <w:rPr>
          <w:rFonts w:eastAsia="Times New Roman" w:cs="Times New Roman" w:ascii="Times New Roman" w:hAnsi="Times New Roman"/>
          <w:color w:val="auto"/>
          <w:kern w:val="0"/>
          <w:sz w:val="24"/>
          <w:szCs w:val="24"/>
          <w:lang w:val="cs-CZ" w:eastAsia="cs-CZ" w:bidi="ar-SA"/>
        </w:rPr>
        <w:t>plynu</w:t>
      </w:r>
      <w:r>
        <w:rPr>
          <w:rFonts w:ascii="Times New Roman" w:hAnsi="Times New Roman"/>
          <w:sz w:val="24"/>
        </w:rPr>
        <w:t>).</w:t>
      </w:r>
    </w:p>
    <w:p>
      <w:pPr>
        <w:pStyle w:val="Tlotextu"/>
        <w:widowControl w:val="false"/>
        <w:spacing w:lineRule="atLeast" w:line="238" w:before="57" w:after="57"/>
        <w:ind w:left="0" w:right="0" w:hanging="0"/>
        <w:jc w:val="both"/>
        <w:rPr>
          <w:rFonts w:ascii="Times New Roman" w:hAnsi="Times New Roman"/>
          <w:sz w:val="24"/>
        </w:rPr>
      </w:pPr>
      <w:r>
        <w:rPr>
          <w:rFonts w:ascii="Times New Roman" w:hAnsi="Times New Roman"/>
          <w:sz w:val="24"/>
        </w:rPr>
        <w:t xml:space="preserve">Houkačka má na panelu rozvaděče tlačítko pro její odstavení, signálka zůstane svítit po celou dobu trvání poruchy a panelu rozvaděče budou umístěny kontrolka sumární poruchy zdroje tepla. </w:t>
      </w:r>
    </w:p>
    <w:p>
      <w:pPr>
        <w:pStyle w:val="Tlotextu"/>
        <w:widowControl w:val="false"/>
        <w:spacing w:lineRule="atLeast" w:line="238" w:before="113" w:after="57"/>
        <w:ind w:left="0" w:right="0" w:hanging="0"/>
        <w:jc w:val="both"/>
        <w:rPr>
          <w:rFonts w:ascii="Times New Roman" w:hAnsi="Times New Roman" w:cs="Times New Roman"/>
          <w:sz w:val="24"/>
          <w:szCs w:val="24"/>
        </w:rPr>
      </w:pPr>
      <w:r>
        <w:rPr>
          <w:rFonts w:cs="Times New Roman" w:ascii="Times New Roman" w:hAnsi="Times New Roman"/>
          <w:sz w:val="24"/>
          <w:szCs w:val="24"/>
        </w:rPr>
        <w:t>15-OVLÁDÁNÍ ČERPADEL</w:t>
      </w:r>
    </w:p>
    <w:p>
      <w:pPr>
        <w:pStyle w:val="Zkladntext21"/>
        <w:spacing w:before="57" w:after="57"/>
        <w:rPr/>
      </w:pPr>
      <w:r>
        <w:rPr/>
        <w:t>Zapínání čerpadel bude v aut. režimu řízeno regulátorem -silově připojeno v MaR. Přepnutím pomocí ovladačů AUT-0-ZAP je možné také ruční zapnutí. Každé čerpadlo má signalizaci chodu/poruchy do systému a pomocí kontrolky na panelu rozvaděče. Do systému bude též hlášena společná poloha AUT všech ovladačů.</w:t>
      </w:r>
    </w:p>
    <w:p>
      <w:pPr>
        <w:pStyle w:val="Normal"/>
        <w:spacing w:lineRule="atLeast" w:line="240" w:before="57" w:after="57"/>
        <w:jc w:val="both"/>
        <w:rPr>
          <w:rFonts w:ascii="Times New Roman" w:hAnsi="Times New Roman" w:cs="Times New Roman"/>
          <w:sz w:val="24"/>
        </w:rPr>
      </w:pPr>
      <w:r>
        <w:rPr>
          <w:rFonts w:cs="Times New Roman" w:ascii="Times New Roman" w:hAnsi="Times New Roman"/>
          <w:sz w:val="24"/>
        </w:rPr>
        <w:t>Ovládání chodu oběhových čerpadel jednotlivých topných sekcí  bude podle měřených teplot na výstupu ekvitermu– čerpadlo bude v chodu, bude-li pootevřena příslušná směšovací armatura, bude umožněn doběh čerpadel.</w:t>
      </w:r>
    </w:p>
    <w:p>
      <w:pPr>
        <w:pStyle w:val="Normal"/>
        <w:spacing w:lineRule="atLeast" w:line="240" w:before="57" w:after="57"/>
        <w:jc w:val="both"/>
        <w:rPr/>
      </w:pPr>
      <w:r>
        <w:rPr>
          <w:rFonts w:cs="Times New Roman" w:ascii="Times New Roman" w:hAnsi="Times New Roman"/>
          <w:color w:val="000000"/>
          <w:sz w:val="24"/>
        </w:rPr>
        <w:t xml:space="preserve">Ovládání chodu čerpadla pro </w:t>
      </w:r>
      <w:r>
        <w:rPr>
          <w:rFonts w:eastAsia="Times New Roman" w:cs="Times New Roman" w:ascii="Times New Roman" w:hAnsi="Times New Roman"/>
          <w:color w:val="000000"/>
          <w:sz w:val="24"/>
          <w:szCs w:val="22"/>
          <w:lang w:val="cs-CZ" w:eastAsia="zh-CN" w:bidi="ar-SA"/>
        </w:rPr>
        <w:t>VZT</w:t>
      </w:r>
      <w:r>
        <w:rPr>
          <w:rFonts w:cs="Times New Roman" w:ascii="Times New Roman" w:hAnsi="Times New Roman"/>
          <w:color w:val="000000"/>
          <w:sz w:val="24"/>
        </w:rPr>
        <w:t xml:space="preserve"> bude </w:t>
      </w:r>
      <w:r>
        <w:rPr>
          <w:rFonts w:eastAsia="Times New Roman" w:cs="Times New Roman" w:ascii="Times New Roman" w:hAnsi="Times New Roman"/>
          <w:color w:val="000000"/>
          <w:sz w:val="24"/>
          <w:szCs w:val="22"/>
          <w:lang w:val="cs-CZ" w:eastAsia="zh-CN" w:bidi="ar-SA"/>
        </w:rPr>
        <w:t>časového programu nebo na požadavek na teplo, předáva</w:t>
      </w:r>
      <w:r>
        <w:rPr>
          <w:rFonts w:eastAsia="Times New Roman" w:cs="Times New Roman" w:ascii="Times New Roman" w:hAnsi="Times New Roman"/>
          <w:color w:val="000000"/>
          <w:sz w:val="24"/>
          <w:szCs w:val="22"/>
          <w:lang w:val="cs-CZ" w:eastAsia="zh-CN" w:bidi="ar-SA"/>
        </w:rPr>
        <w:t>ného</w:t>
      </w:r>
      <w:r>
        <w:rPr>
          <w:rFonts w:eastAsia="Times New Roman" w:cs="Times New Roman" w:ascii="Times New Roman" w:hAnsi="Times New Roman"/>
          <w:color w:val="000000"/>
          <w:sz w:val="24"/>
          <w:szCs w:val="22"/>
          <w:lang w:val="cs-CZ" w:eastAsia="zh-CN" w:bidi="ar-SA"/>
        </w:rPr>
        <w:t xml:space="preserve"> po komunikaci (přes velín) ze stávajícího</w:t>
      </w:r>
      <w:r>
        <w:rPr>
          <w:rFonts w:cs="Times New Roman" w:ascii="Times New Roman" w:hAnsi="Times New Roman"/>
          <w:color w:val="000000"/>
          <w:sz w:val="24"/>
        </w:rPr>
        <w:t xml:space="preserve"> systému MaR  pro větrání.</w:t>
      </w:r>
    </w:p>
    <w:p>
      <w:pPr>
        <w:pStyle w:val="Normal"/>
        <w:spacing w:lineRule="atLeast" w:line="240" w:before="57" w:after="57"/>
        <w:jc w:val="both"/>
        <w:rPr>
          <w:rFonts w:ascii="Times New Roman" w:hAnsi="Times New Roman" w:cs="Times New Roman"/>
          <w:b/>
          <w:b/>
          <w:bCs/>
          <w:sz w:val="24"/>
        </w:rPr>
      </w:pPr>
      <w:r>
        <w:rPr>
          <w:rFonts w:cs="Times New Roman" w:ascii="Times New Roman" w:hAnsi="Times New Roman"/>
          <w:b/>
          <w:bCs/>
          <w:sz w:val="24"/>
        </w:rPr>
        <w:t>Silové připojení všech čerpadel je v MaR.</w:t>
      </w:r>
    </w:p>
    <w:p>
      <w:pPr>
        <w:pStyle w:val="Normal"/>
        <w:spacing w:lineRule="atLeast" w:line="240" w:before="113" w:after="57"/>
        <w:rPr>
          <w:rFonts w:ascii="Times New Roman" w:hAnsi="Times New Roman" w:cs="Times New Roman"/>
          <w:sz w:val="24"/>
        </w:rPr>
      </w:pPr>
      <w:r>
        <w:rPr>
          <w:rFonts w:cs="Times New Roman" w:ascii="Times New Roman" w:hAnsi="Times New Roman"/>
          <w:sz w:val="24"/>
        </w:rPr>
        <w:t>10- VĚTRÁNÍ KOTELNY</w:t>
      </w:r>
    </w:p>
    <w:p>
      <w:pPr>
        <w:pStyle w:val="Normal"/>
        <w:spacing w:before="57" w:after="57"/>
        <w:jc w:val="both"/>
        <w:rPr/>
      </w:pPr>
      <w:r>
        <w:rPr>
          <w:rFonts w:cs="Arial" w:ascii="Times New Roman" w:hAnsi="Times New Roman"/>
          <w:sz w:val="24"/>
          <w:szCs w:val="24"/>
        </w:rPr>
        <w:t>Pro přívod „ochlazovacího vzduchu“ pro letní období je navržen 1x přívodní ventilátor a vzt. potrubí otočené k podlaze místnosti.  Odvod vzduchu z místnosti bude přetlakem přes neuzavíratelný otvor a protidešťovou žaluzii ve fasádě (2x).</w:t>
      </w:r>
      <w:r>
        <w:rPr>
          <w:rFonts w:cs="Times New Roman" w:ascii="Times New Roman" w:hAnsi="Times New Roman"/>
          <w:sz w:val="24"/>
        </w:rPr>
        <w:t>Spínání ventilátoru bude od prostorové teploty v kotelně a při detekci úniku zemního plynu nebo CO.</w:t>
      </w:r>
    </w:p>
    <w:p>
      <w:pPr>
        <w:pStyle w:val="Zkladntext21"/>
        <w:spacing w:before="57" w:after="57"/>
        <w:rPr>
          <w:rFonts w:ascii="Times New Roman" w:hAnsi="Times New Roman"/>
        </w:rPr>
      </w:pPr>
      <w:r>
        <w:rPr/>
        <w:t>Zapínání ventilátoru bude v aut. režimu řízeno regulátorem -silově připojeno v MaR. Přepnutím pomocí ovladačů AUT-0-ZAP je možné také ruční zapnutí. Ventilátor má signalizaci chodu/poruchy do systému a pomocí kontrolky na panelu rozvaděče. Do systému bude též hlášena poloha AUT ovladače.</w:t>
      </w:r>
    </w:p>
    <w:p>
      <w:pPr>
        <w:pStyle w:val="Normal"/>
        <w:spacing w:lineRule="atLeast" w:line="240" w:before="57" w:after="57"/>
        <w:jc w:val="both"/>
        <w:rPr>
          <w:rFonts w:ascii="Times New Roman" w:hAnsi="Times New Roman" w:cs="Times New Roman"/>
          <w:b/>
          <w:b/>
          <w:bCs/>
          <w:sz w:val="24"/>
        </w:rPr>
      </w:pPr>
      <w:r>
        <w:rPr>
          <w:rFonts w:cs="Times New Roman" w:ascii="Times New Roman" w:hAnsi="Times New Roman"/>
          <w:b/>
          <w:bCs/>
          <w:sz w:val="24"/>
        </w:rPr>
        <w:t>Silové připojení ventilátoru je v MaR.</w:t>
      </w:r>
    </w:p>
    <w:p>
      <w:pPr>
        <w:pStyle w:val="Normal"/>
        <w:spacing w:lineRule="atLeast" w:line="240" w:before="113" w:after="57"/>
        <w:jc w:val="both"/>
        <w:rPr/>
      </w:pPr>
      <w:r>
        <w:rPr>
          <w:rFonts w:eastAsia="Times New Roman" w:cs="Times New Roman" w:ascii="Times New Roman" w:hAnsi="Times New Roman"/>
          <w:color w:val="auto"/>
          <w:sz w:val="24"/>
          <w:szCs w:val="24"/>
          <w:lang w:val="cs-CZ" w:eastAsia="zh-CN" w:bidi="ar-SA"/>
        </w:rPr>
        <w:t>01-ROZVADĚČ -</w:t>
      </w:r>
      <w:r>
        <w:rPr>
          <w:rFonts w:eastAsia="Times New Roman" w:cs="Times New Roman" w:ascii="Times New Roman" w:hAnsi="Times New Roman"/>
          <w:color w:val="auto"/>
          <w:sz w:val="24"/>
          <w:szCs w:val="22"/>
          <w:lang w:val="cs-CZ" w:eastAsia="zh-CN" w:bidi="ar-SA"/>
        </w:rPr>
        <w:t>nový BI</w:t>
      </w:r>
    </w:p>
    <w:p>
      <w:pPr>
        <w:pStyle w:val="Tlotextu"/>
        <w:spacing w:lineRule="atLeast" w:line="0" w:before="57" w:after="57"/>
        <w:jc w:val="both"/>
        <w:rPr>
          <w:rFonts w:ascii="Times New Roman" w:hAnsi="Times New Roman"/>
          <w:sz w:val="24"/>
        </w:rPr>
      </w:pPr>
      <w:r>
        <w:rPr>
          <w:rFonts w:ascii="Times New Roman" w:hAnsi="Times New Roman"/>
          <w:sz w:val="24"/>
        </w:rPr>
        <w:t>Přístroje MaR budou osazeny do skříňového rozvaděče min. rozměrů cca šířka 600mm, hloubka 300mm, výška 1000 mm -bude upřesněno dle dodavatele.</w:t>
      </w:r>
    </w:p>
    <w:p>
      <w:pPr>
        <w:pStyle w:val="Normal"/>
        <w:widowControl w:val="false"/>
        <w:spacing w:lineRule="atLeast" w:line="0" w:before="57" w:after="57"/>
        <w:jc w:val="both"/>
        <w:rPr>
          <w:rFonts w:ascii="Times New Roman" w:hAnsi="Times New Roman" w:cs="Times New Roman"/>
          <w:sz w:val="24"/>
        </w:rPr>
      </w:pPr>
      <w:r>
        <w:rPr>
          <w:rFonts w:cs="Times New Roman" w:ascii="Times New Roman" w:hAnsi="Times New Roman"/>
          <w:sz w:val="24"/>
        </w:rPr>
        <w:t xml:space="preserve">DDC regulátor s I/O moduly budou umístěny uvnitř rozvaděče,  ovládací displej bude umístěn na dveřích rozvaděče spolu s ovladači a kontrolkami. </w:t>
      </w:r>
    </w:p>
    <w:p>
      <w:pPr>
        <w:pStyle w:val="Tlotextu"/>
        <w:spacing w:lineRule="atLeast" w:line="0" w:before="57" w:after="57"/>
        <w:jc w:val="both"/>
        <w:rPr>
          <w:rFonts w:ascii="Times New Roman" w:hAnsi="Times New Roman"/>
          <w:sz w:val="24"/>
        </w:rPr>
      </w:pPr>
      <w:r>
        <w:rPr>
          <w:rFonts w:ascii="Times New Roman" w:hAnsi="Times New Roman"/>
          <w:sz w:val="24"/>
        </w:rPr>
      </w:r>
    </w:p>
    <w:p>
      <w:pPr>
        <w:pStyle w:val="Tlotextu"/>
        <w:spacing w:lineRule="atLeast" w:line="0" w:before="57" w:after="57"/>
        <w:jc w:val="both"/>
        <w:rPr>
          <w:rFonts w:ascii="Times New Roman" w:hAnsi="Times New Roman"/>
          <w:sz w:val="24"/>
        </w:rPr>
      </w:pPr>
      <w:r>
        <w:rPr>
          <w:rFonts w:ascii="Times New Roman" w:hAnsi="Times New Roman"/>
          <w:sz w:val="24"/>
        </w:rPr>
        <w:t xml:space="preserve">V rozvaděči budou instalována 6A/230V servisní zásuvka. </w:t>
      </w:r>
    </w:p>
    <w:p>
      <w:pPr>
        <w:pStyle w:val="Normal"/>
        <w:widowControl w:val="false"/>
        <w:spacing w:lineRule="atLeast" w:line="0" w:before="57" w:after="57"/>
        <w:jc w:val="both"/>
        <w:rPr>
          <w:rFonts w:ascii="Times New Roman" w:hAnsi="Times New Roman" w:cs="Times New Roman"/>
          <w:sz w:val="24"/>
        </w:rPr>
      </w:pPr>
      <w:r>
        <w:rPr>
          <w:rFonts w:cs="Times New Roman" w:ascii="Times New Roman" w:hAnsi="Times New Roman"/>
          <w:sz w:val="24"/>
        </w:rPr>
        <w:t>Součástí rozvaděče bude napájecí zdroj -transformátor 230VAC/24VAC s elektrickou pevností 4kV, pro řídící mikroprocesorový regulátor a ostatní okruhy.</w:t>
      </w:r>
    </w:p>
    <w:p>
      <w:pPr>
        <w:pStyle w:val="Tlotextu"/>
        <w:spacing w:lineRule="atLeast" w:line="0" w:before="57" w:after="57"/>
        <w:jc w:val="both"/>
        <w:rPr>
          <w:rFonts w:ascii="Times New Roman" w:hAnsi="Times New Roman"/>
          <w:sz w:val="24"/>
        </w:rPr>
      </w:pPr>
      <w:r>
        <w:rPr>
          <w:rFonts w:ascii="Times New Roman" w:hAnsi="Times New Roman"/>
          <w:sz w:val="24"/>
        </w:rPr>
        <w:t>Jištěný přívod do skříňky ze silového rozvaděče – 400V/50Hz/20A. Na přívodu bude přepěťová ochrana stupeň T1,T2 (B,C).</w:t>
      </w:r>
    </w:p>
    <w:p>
      <w:pPr>
        <w:pStyle w:val="Normal"/>
        <w:widowControl w:val="false"/>
        <w:spacing w:lineRule="atLeast" w:line="0" w:before="57" w:after="57"/>
        <w:jc w:val="both"/>
        <w:rPr>
          <w:rFonts w:ascii="Times New Roman" w:hAnsi="Times New Roman" w:cs="Times New Roman"/>
          <w:sz w:val="24"/>
        </w:rPr>
      </w:pPr>
      <w:r>
        <w:rPr>
          <w:rFonts w:cs="Times New Roman" w:ascii="Times New Roman" w:hAnsi="Times New Roman"/>
          <w:sz w:val="24"/>
        </w:rPr>
        <w:t xml:space="preserve">Trafo a přístroje pro detekci a ovládání mají předřazený stupeň T3 (D) přepěťové ochrany s VF filtrem pro eliminaci přepětí a rušivých vlivů v síti. </w:t>
      </w:r>
    </w:p>
    <w:p>
      <w:pPr>
        <w:pStyle w:val="Normal"/>
        <w:widowControl w:val="false"/>
        <w:spacing w:lineRule="atLeast" w:line="0" w:before="57" w:after="57"/>
        <w:jc w:val="both"/>
        <w:rPr>
          <w:rFonts w:ascii="Times New Roman" w:hAnsi="Times New Roman" w:cs="Times New Roman"/>
          <w:sz w:val="24"/>
        </w:rPr>
      </w:pPr>
      <w:r>
        <w:rPr>
          <w:rFonts w:cs="Times New Roman" w:ascii="Times New Roman" w:hAnsi="Times New Roman"/>
          <w:sz w:val="24"/>
        </w:rPr>
        <w:t>V rozvaděči je navrženo vnitřní osvětlení pomocí 40W svítidla.</w:t>
      </w:r>
    </w:p>
    <w:p>
      <w:pPr>
        <w:pStyle w:val="Normal"/>
        <w:spacing w:lineRule="atLeast" w:line="0" w:before="57" w:after="57"/>
        <w:jc w:val="both"/>
        <w:rPr>
          <w:rFonts w:ascii="Times New Roman" w:hAnsi="Times New Roman" w:cs="Times New Roman"/>
          <w:sz w:val="24"/>
        </w:rPr>
      </w:pPr>
      <w:r>
        <w:rPr>
          <w:rFonts w:cs="Times New Roman" w:ascii="Times New Roman" w:hAnsi="Times New Roman"/>
          <w:sz w:val="24"/>
        </w:rPr>
        <w:t>Ochrana před nebezpečným dotykovým napětím dle ČSN 332000-4-41 ed.2 : automatickým odpojením od zdroje ve stanoveném čase.</w:t>
      </w:r>
    </w:p>
    <w:p>
      <w:pPr>
        <w:pStyle w:val="Nadpis1"/>
        <w:keepNext w:val="true"/>
        <w:widowControl/>
        <w:bidi w:val="0"/>
        <w:spacing w:before="170" w:after="113"/>
        <w:ind w:left="567" w:right="0" w:hanging="567"/>
        <w:jc w:val="both"/>
        <w:rPr/>
      </w:pPr>
      <w:bookmarkStart w:id="22" w:name="__RefHeading___Toc515456915"/>
      <w:bookmarkEnd w:id="22"/>
      <w:r>
        <w:rPr/>
        <w:t>bilance energií, médií a potřebných hmot</w:t>
      </w:r>
    </w:p>
    <w:p>
      <w:pPr>
        <w:pStyle w:val="Tlotextu"/>
        <w:spacing w:before="120" w:after="120"/>
        <w:rPr>
          <w:rFonts w:ascii="Times New Roman" w:hAnsi="Times New Roman"/>
          <w:sz w:val="24"/>
        </w:rPr>
      </w:pPr>
      <w:r>
        <w:rPr>
          <w:rFonts w:ascii="Times New Roman" w:hAnsi="Times New Roman"/>
          <w:sz w:val="24"/>
        </w:rPr>
        <w:t>Předpokládané napájení skřínky MaR:</w:t>
      </w:r>
    </w:p>
    <w:p>
      <w:pPr>
        <w:pStyle w:val="Tlotextu"/>
        <w:tabs>
          <w:tab w:val="clear" w:pos="708"/>
          <w:tab w:val="left" w:pos="5760" w:leader="none"/>
        </w:tabs>
        <w:spacing w:before="0" w:after="0"/>
        <w:jc w:val="both"/>
        <w:rPr/>
      </w:pPr>
      <w:r>
        <w:rPr>
          <w:rFonts w:eastAsia="Times New Roman" w:cs="Times New Roman" w:ascii="Times New Roman" w:hAnsi="Times New Roman"/>
          <w:color w:val="auto"/>
          <w:sz w:val="24"/>
          <w:szCs w:val="20"/>
          <w:lang w:val="cs-CZ" w:eastAsia="zh-CN" w:bidi="ar-SA"/>
        </w:rPr>
        <w:t>BI</w:t>
      </w:r>
      <w:r>
        <w:rPr>
          <w:rFonts w:ascii="Times New Roman" w:hAnsi="Times New Roman"/>
          <w:sz w:val="24"/>
        </w:rPr>
        <w:t xml:space="preserve"> - 400V/50Hz 20A </w:t>
      </w:r>
    </w:p>
    <w:p>
      <w:pPr>
        <w:pStyle w:val="Nadpis1"/>
        <w:keepNext w:val="true"/>
        <w:widowControl/>
        <w:bidi w:val="0"/>
        <w:spacing w:before="170" w:after="113"/>
        <w:ind w:left="567" w:right="0" w:hanging="567"/>
        <w:jc w:val="both"/>
        <w:rPr>
          <w:u w:val="none"/>
        </w:rPr>
      </w:pPr>
      <w:bookmarkStart w:id="23" w:name="__RefHeading___Toc10831_2687883190"/>
      <w:bookmarkEnd w:id="23"/>
      <w:r>
        <w:rPr>
          <w:u w:val="none"/>
        </w:rPr>
        <w:t>zásady ochrany zdraví, bezpečnosti práce při provozu zařízení</w:t>
      </w:r>
    </w:p>
    <w:p>
      <w:pPr>
        <w:pStyle w:val="Tlotextu"/>
        <w:spacing w:before="113" w:after="57"/>
        <w:rPr>
          <w:b/>
          <w:b/>
          <w:bCs/>
          <w:sz w:val="24"/>
          <w:szCs w:val="24"/>
        </w:rPr>
      </w:pPr>
      <w:bookmarkStart w:id="24" w:name="__RefHeading___Toc10833_2687883190"/>
      <w:bookmarkEnd w:id="24"/>
      <w:r>
        <w:rPr>
          <w:b/>
          <w:bCs/>
          <w:sz w:val="24"/>
          <w:szCs w:val="24"/>
        </w:rPr>
        <w:t>VNĚJŠÍ VLIVY</w:t>
      </w:r>
    </w:p>
    <w:p>
      <w:pPr>
        <w:pStyle w:val="Normal"/>
        <w:spacing w:lineRule="atLeast" w:line="240" w:before="57" w:after="57"/>
        <w:jc w:val="both"/>
        <w:rPr>
          <w:rFonts w:ascii="Times New Roman" w:hAnsi="Times New Roman" w:cs="Times New Roman"/>
          <w:sz w:val="24"/>
          <w:szCs w:val="24"/>
        </w:rPr>
      </w:pPr>
      <w:r>
        <w:rPr>
          <w:rFonts w:cs="Times New Roman" w:ascii="Times New Roman" w:hAnsi="Times New Roman"/>
          <w:sz w:val="24"/>
          <w:szCs w:val="24"/>
        </w:rPr>
        <w:t>Klasifikace vnějších vlivů dle ČSN 33 2000-5-51 ed.3 bude určena odbornou komisí. Vnější vlivy v jednotlivých místnostech jsou uvedeny v „PROTOKOLU O PROSTŘEDÍ“.</w:t>
      </w:r>
    </w:p>
    <w:p>
      <w:pPr>
        <w:pStyle w:val="Normal"/>
        <w:spacing w:lineRule="atLeast" w:line="240" w:before="57" w:after="57"/>
        <w:jc w:val="both"/>
        <w:rPr>
          <w:rFonts w:ascii="Times New Roman" w:hAnsi="Times New Roman" w:cs="Times New Roman"/>
          <w:sz w:val="24"/>
        </w:rPr>
      </w:pPr>
      <w:r>
        <w:rPr>
          <w:rFonts w:cs="Times New Roman" w:ascii="Times New Roman" w:hAnsi="Times New Roman"/>
          <w:sz w:val="24"/>
        </w:rPr>
        <w:t>V kotelně platí vnější vlivy normální ve smyslu ČSN 33 2000-5-51 ed.3.</w:t>
      </w:r>
    </w:p>
    <w:p>
      <w:pPr>
        <w:pStyle w:val="Tlotextu"/>
        <w:spacing w:lineRule="atLeast" w:line="240" w:before="113" w:after="57"/>
        <w:jc w:val="both"/>
        <w:rPr>
          <w:rFonts w:ascii="Arial" w:hAnsi="Arial" w:cs="Arial"/>
          <w:b/>
          <w:b/>
          <w:bCs/>
          <w:iCs/>
          <w:sz w:val="24"/>
        </w:rPr>
      </w:pPr>
      <w:r>
        <w:rPr>
          <w:rFonts w:cs="Arial"/>
          <w:b/>
          <w:bCs/>
          <w:iCs/>
          <w:sz w:val="24"/>
        </w:rPr>
        <w:t>ENERGETICKÁ SÍŤ</w:t>
      </w:r>
    </w:p>
    <w:p>
      <w:pPr>
        <w:pStyle w:val="Tlotextu"/>
        <w:spacing w:lineRule="atLeast" w:line="240" w:before="57" w:after="57"/>
        <w:jc w:val="both"/>
        <w:rPr>
          <w:rFonts w:ascii="Times New Roman" w:hAnsi="Times New Roman"/>
          <w:sz w:val="24"/>
          <w:szCs w:val="24"/>
        </w:rPr>
      </w:pPr>
      <w:r>
        <w:rPr>
          <w:rFonts w:ascii="Times New Roman" w:hAnsi="Times New Roman"/>
          <w:sz w:val="24"/>
          <w:szCs w:val="24"/>
        </w:rPr>
        <w:t>Zařízení MaR jsou napájena z energetické sítě TN-C-S 3L+PE+N 400V, 50 Hz</w:t>
      </w:r>
    </w:p>
    <w:p>
      <w:pPr>
        <w:pStyle w:val="Tlotextu"/>
        <w:spacing w:lineRule="atLeast" w:line="240" w:before="113" w:after="57"/>
        <w:jc w:val="both"/>
        <w:rPr>
          <w:rFonts w:ascii="Arial" w:hAnsi="Arial"/>
          <w:b/>
          <w:b/>
          <w:bCs/>
          <w:sz w:val="24"/>
          <w:szCs w:val="24"/>
        </w:rPr>
      </w:pPr>
      <w:r>
        <w:rPr>
          <w:rFonts w:ascii="Arial" w:hAnsi="Arial"/>
          <w:b/>
          <w:bCs/>
          <w:sz w:val="24"/>
          <w:szCs w:val="24"/>
        </w:rPr>
        <w:t>ZPŮSOB OCHRANY</w:t>
      </w:r>
    </w:p>
    <w:p>
      <w:pPr>
        <w:pStyle w:val="Normal"/>
        <w:spacing w:lineRule="atLeast" w:line="240" w:before="57" w:after="57"/>
        <w:jc w:val="both"/>
        <w:rPr>
          <w:rFonts w:ascii="Times New Roman" w:hAnsi="Times New Roman" w:cs="Times New Roman"/>
          <w:sz w:val="24"/>
          <w:szCs w:val="24"/>
        </w:rPr>
      </w:pPr>
      <w:r>
        <w:rPr>
          <w:rFonts w:cs="Times New Roman" w:ascii="Times New Roman" w:hAnsi="Times New Roman"/>
          <w:sz w:val="24"/>
          <w:szCs w:val="24"/>
        </w:rPr>
        <w:t>Ochrana před nebezpečným dotykem neživých částí ČSN 33 2000-4-41 ed.2:</w:t>
      </w:r>
    </w:p>
    <w:p>
      <w:pPr>
        <w:pStyle w:val="Normal"/>
        <w:spacing w:before="57" w:after="57"/>
        <w:rPr>
          <w:rFonts w:ascii="Times New Roman" w:hAnsi="Times New Roman" w:cs="Times New Roman"/>
          <w:sz w:val="24"/>
          <w:szCs w:val="24"/>
        </w:rPr>
      </w:pPr>
      <w:r>
        <w:rPr>
          <w:rFonts w:cs="Times New Roman" w:ascii="Times New Roman" w:hAnsi="Times New Roman"/>
          <w:sz w:val="24"/>
          <w:szCs w:val="24"/>
        </w:rPr>
        <w:t xml:space="preserve">čl. 411 -Ochranné opatření: automatické odpojení od zdroje </w:t>
      </w:r>
    </w:p>
    <w:p>
      <w:pPr>
        <w:pStyle w:val="Normal"/>
        <w:numPr>
          <w:ilvl w:val="0"/>
          <w:numId w:val="7"/>
        </w:numPr>
        <w:jc w:val="both"/>
        <w:rPr>
          <w:rFonts w:ascii="Times New Roman" w:hAnsi="Times New Roman" w:cs="Times New Roman"/>
          <w:sz w:val="24"/>
          <w:szCs w:val="24"/>
        </w:rPr>
      </w:pPr>
      <w:r>
        <w:rPr>
          <w:rFonts w:cs="Times New Roman" w:ascii="Times New Roman" w:hAnsi="Times New Roman"/>
          <w:sz w:val="24"/>
          <w:szCs w:val="24"/>
        </w:rPr>
        <w:t>základní ochrana (před dotykem živých částí) je zajištěna základní izolací živých částí nebo přepážkami nebo kryty .</w:t>
      </w:r>
    </w:p>
    <w:p>
      <w:pPr>
        <w:pStyle w:val="Normal"/>
        <w:numPr>
          <w:ilvl w:val="0"/>
          <w:numId w:val="7"/>
        </w:numPr>
        <w:jc w:val="both"/>
        <w:rPr>
          <w:rFonts w:ascii="Times New Roman" w:hAnsi="Times New Roman" w:cs="Times New Roman"/>
          <w:sz w:val="24"/>
          <w:szCs w:val="24"/>
        </w:rPr>
      </w:pPr>
      <w:r>
        <w:rPr>
          <w:rFonts w:cs="Times New Roman" w:ascii="Times New Roman" w:hAnsi="Times New Roman"/>
          <w:sz w:val="24"/>
          <w:szCs w:val="24"/>
        </w:rPr>
        <w:t>ochrana při poruše (před dotykem neživých částí) je zajištěna ochranným pospojováním a automatickým odpojením od zdroje v případě poruchy souladu s 411.3 až 411.6</w:t>
      </w:r>
    </w:p>
    <w:p>
      <w:pPr>
        <w:pStyle w:val="Normal"/>
        <w:spacing w:before="57" w:after="57"/>
        <w:jc w:val="both"/>
        <w:rPr>
          <w:rFonts w:ascii="Times New Roman" w:hAnsi="Times New Roman" w:cs="Times New Roman"/>
          <w:sz w:val="24"/>
          <w:szCs w:val="24"/>
        </w:rPr>
      </w:pPr>
      <w:r>
        <w:rPr>
          <w:rFonts w:cs="Times New Roman" w:ascii="Times New Roman" w:hAnsi="Times New Roman"/>
          <w:sz w:val="24"/>
          <w:szCs w:val="24"/>
        </w:rPr>
        <w:t xml:space="preserve">V sítí 24VAC bude uplatněno ochranné opatření minimálně funkčním malým napětím (FELV) dle čl. 411.7, zdrojem sítě bude bezpečnostní transformátor s el. pevností 4kV. </w:t>
      </w:r>
    </w:p>
    <w:p>
      <w:pPr>
        <w:pStyle w:val="Normal"/>
        <w:spacing w:before="57" w:after="57"/>
        <w:jc w:val="both"/>
        <w:rPr/>
      </w:pPr>
      <w:r>
        <w:rPr>
          <w:rFonts w:cs="Times New Roman" w:ascii="Times New Roman" w:hAnsi="Times New Roman"/>
          <w:b/>
          <w:bCs/>
          <w:sz w:val="24"/>
          <w:szCs w:val="24"/>
        </w:rPr>
        <w:t xml:space="preserve">Konkrétní ochranná opatření v sítích 24V/AC (FELV,PELV nebo SELF) budou zvolena až s ohledem na vybraného dodavatele systému (typ napájení regulátorů a jeho propojení s perifériemi) a rozvaděče MaR. </w:t>
      </w:r>
      <w:r>
        <w:rPr>
          <w:rFonts w:cs="Times New Roman" w:ascii="Times New Roman" w:hAnsi="Times New Roman"/>
          <w:sz w:val="24"/>
          <w:szCs w:val="24"/>
        </w:rPr>
        <w:t>Základní ochrana čl. 413.1, čl. 413.1.1 automatickým odpojením od zdroje.</w:t>
      </w:r>
    </w:p>
    <w:p>
      <w:pPr>
        <w:pStyle w:val="Tlotextu"/>
        <w:spacing w:lineRule="atLeast" w:line="240" w:before="57" w:after="57"/>
        <w:jc w:val="both"/>
        <w:rPr>
          <w:rFonts w:ascii="Times New Roman" w:hAnsi="Times New Roman"/>
          <w:iCs/>
          <w:sz w:val="24"/>
          <w:szCs w:val="24"/>
        </w:rPr>
      </w:pPr>
      <w:r>
        <w:rPr>
          <w:rFonts w:ascii="Times New Roman" w:hAnsi="Times New Roman"/>
          <w:iCs/>
          <w:sz w:val="24"/>
          <w:szCs w:val="24"/>
        </w:rPr>
        <w:t xml:space="preserve">Na instalovaném zařízení musí být provedeno ochranné pospojování vodičem CY6z/ž  Barevné označení vodičů dle ČSN 330165. </w:t>
      </w:r>
    </w:p>
    <w:p>
      <w:pPr>
        <w:pStyle w:val="Tlotextu"/>
        <w:spacing w:lineRule="atLeast" w:line="240" w:before="57" w:after="57"/>
        <w:jc w:val="both"/>
        <w:rPr/>
      </w:pPr>
      <w:r>
        <w:rPr>
          <w:rFonts w:ascii="Times New Roman" w:hAnsi="Times New Roman"/>
          <w:iCs/>
          <w:sz w:val="24"/>
          <w:szCs w:val="24"/>
        </w:rPr>
        <w:t xml:space="preserve">Bezpečnostní vypínání el.zařízení jako celku bude v rozvodnicí </w:t>
      </w:r>
      <w:r>
        <w:rPr>
          <w:rFonts w:eastAsia="Times New Roman" w:cs="Times New Roman" w:ascii="Times New Roman" w:hAnsi="Times New Roman"/>
          <w:iCs/>
          <w:color w:val="auto"/>
          <w:sz w:val="24"/>
          <w:szCs w:val="24"/>
          <w:lang w:val="cs-CZ" w:eastAsia="zh-CN" w:bidi="ar-SA"/>
        </w:rPr>
        <w:t xml:space="preserve">BI </w:t>
      </w:r>
      <w:r>
        <w:rPr>
          <w:rFonts w:ascii="Times New Roman" w:hAnsi="Times New Roman"/>
          <w:iCs/>
          <w:sz w:val="24"/>
          <w:szCs w:val="24"/>
        </w:rPr>
        <w:t xml:space="preserve">, Hlavní vypínač označit tabulkou "Hlavní vypínač-vypni v nebezpečí". </w:t>
      </w:r>
    </w:p>
    <w:p>
      <w:pPr>
        <w:pStyle w:val="Tlotextu"/>
        <w:spacing w:lineRule="atLeast" w:line="240" w:before="170" w:after="113"/>
        <w:jc w:val="both"/>
        <w:rPr>
          <w:rFonts w:ascii="Arial" w:hAnsi="Arial" w:cs="Arial"/>
          <w:b/>
          <w:b/>
          <w:bCs/>
          <w:iCs/>
          <w:sz w:val="24"/>
        </w:rPr>
      </w:pPr>
      <w:r>
        <w:rPr>
          <w:rFonts w:cs="Arial"/>
          <w:b/>
          <w:bCs/>
          <w:iCs/>
          <w:sz w:val="24"/>
        </w:rPr>
        <w:t>POŽADAVKY NA BEZPEČNOST PRÁCE</w:t>
      </w:r>
    </w:p>
    <w:p>
      <w:pPr>
        <w:pStyle w:val="TextOdst"/>
        <w:spacing w:lineRule="atLeast" w:line="240" w:before="57" w:after="57"/>
        <w:ind w:left="0" w:right="0" w:hanging="0"/>
        <w:jc w:val="both"/>
        <w:rPr>
          <w:sz w:val="24"/>
          <w:szCs w:val="24"/>
          <w:lang w:val="cs-CZ" w:eastAsia="cs-CZ"/>
        </w:rPr>
      </w:pPr>
      <w:r>
        <w:rPr>
          <w:sz w:val="24"/>
          <w:szCs w:val="24"/>
          <w:lang w:val="cs-CZ" w:eastAsia="cs-CZ"/>
        </w:rPr>
        <w:t>Projektová dokumentace musí být zhotovitelem stavebních prací podle specifických podmínek doplněna, respektive upřesněna před zahájením stavby konkrétními požadavky a doklady o technologickém či pracovním postupu v rámci výrobní přípravy zhotovitele. Souhrn všech úkonů k zabezpečení stavby a postupu jednotlivých prací musí být obsažen v tzv. dodavatelské dokumentaci.</w:t>
      </w:r>
    </w:p>
    <w:p>
      <w:pPr>
        <w:pStyle w:val="TextOdst"/>
        <w:spacing w:lineRule="atLeast" w:line="240" w:before="57" w:after="57"/>
        <w:ind w:left="0" w:right="0" w:hanging="0"/>
        <w:jc w:val="both"/>
        <w:rPr/>
      </w:pPr>
      <w:r>
        <w:rPr/>
        <w:t>Provádění stavebně montážních prací:</w:t>
      </w:r>
    </w:p>
    <w:p>
      <w:pPr>
        <w:pStyle w:val="TextOdst"/>
        <w:spacing w:lineRule="atLeast" w:line="240" w:before="57" w:after="57"/>
        <w:ind w:left="0" w:right="0" w:hanging="0"/>
        <w:jc w:val="both"/>
        <w:rPr>
          <w:sz w:val="24"/>
          <w:szCs w:val="24"/>
        </w:rPr>
      </w:pPr>
      <w:r>
        <w:rPr>
          <w:sz w:val="24"/>
          <w:szCs w:val="24"/>
        </w:rPr>
        <w:t>Při provádění musí být dodržována příslušná ustanovení následujících norem a předpisů :</w:t>
      </w:r>
    </w:p>
    <w:p>
      <w:pPr>
        <w:pStyle w:val="TextOdst"/>
        <w:spacing w:lineRule="atLeast" w:line="240" w:before="120" w:after="0"/>
        <w:ind w:left="0" w:right="0" w:hanging="0"/>
        <w:jc w:val="both"/>
        <w:rPr/>
      </w:pPr>
      <w:r>
        <w:rPr>
          <w:sz w:val="24"/>
          <w:szCs w:val="24"/>
        </w:rPr>
        <w:t>Zákon 309/2006</w:t>
      </w:r>
      <w:r>
        <w:rPr>
          <w:rFonts w:eastAsia="Arial Unicode MS;Arial"/>
          <w:sz w:val="24"/>
          <w:szCs w:val="24"/>
        </w:rPr>
        <w:t>., 207/1991 Sb., 352/2000 Sb., 192/2005 Sb.</w:t>
      </w:r>
    </w:p>
    <w:p>
      <w:pPr>
        <w:pStyle w:val="TextOdst"/>
        <w:spacing w:lineRule="atLeast" w:line="238" w:before="57" w:after="57"/>
        <w:jc w:val="both"/>
        <w:rPr>
          <w:sz w:val="24"/>
          <w:szCs w:val="24"/>
          <w:lang w:val="cs-CZ" w:eastAsia="cs-CZ"/>
        </w:rPr>
      </w:pPr>
      <w:r>
        <w:rPr>
          <w:sz w:val="24"/>
          <w:szCs w:val="24"/>
          <w:lang w:val="cs-CZ" w:eastAsia="cs-CZ"/>
        </w:rPr>
        <w:t>ČSN EN 50110-1 ed2 Obsluha a práci na elektrických zařízeních</w:t>
      </w:r>
    </w:p>
    <w:p>
      <w:pPr>
        <w:pStyle w:val="TextOdst"/>
        <w:spacing w:lineRule="atLeast" w:line="238" w:before="57" w:after="57"/>
        <w:jc w:val="both"/>
        <w:rPr>
          <w:sz w:val="24"/>
        </w:rPr>
      </w:pPr>
      <w:r>
        <w:rPr>
          <w:sz w:val="24"/>
        </w:rPr>
        <w:t>ČSN EN 50110-2 Obsluha a práci na elektrických zařízeních (národní dodatky)</w:t>
      </w:r>
    </w:p>
    <w:p>
      <w:pPr>
        <w:pStyle w:val="TextOdst"/>
        <w:spacing w:lineRule="atLeast" w:line="238" w:before="57" w:after="57"/>
        <w:jc w:val="both"/>
        <w:rPr>
          <w:sz w:val="24"/>
        </w:rPr>
      </w:pPr>
      <w:r>
        <w:rPr>
          <w:sz w:val="24"/>
        </w:rPr>
        <w:t>Kvalifikace montážních pracovníků a pracovníků údržby</w:t>
      </w:r>
    </w:p>
    <w:p>
      <w:pPr>
        <w:pStyle w:val="TextOdst"/>
        <w:spacing w:lineRule="atLeast" w:line="240" w:before="120" w:after="0"/>
        <w:ind w:left="0" w:right="0" w:hanging="0"/>
        <w:jc w:val="both"/>
        <w:rPr>
          <w:sz w:val="24"/>
          <w:szCs w:val="24"/>
          <w:lang w:val="cs-CZ" w:eastAsia="cs-CZ"/>
        </w:rPr>
      </w:pPr>
      <w:r>
        <w:rPr>
          <w:sz w:val="24"/>
          <w:szCs w:val="24"/>
          <w:lang w:val="cs-CZ" w:eastAsia="cs-CZ"/>
        </w:rPr>
        <w:t>Osoby pověřené obsluhou a údržbou elektrického zařízení pracovníci musí mít odpovídající kvalifikaci dle Vyhl. ČÚBP Č. 50/78 Sb.</w:t>
      </w:r>
    </w:p>
    <w:p>
      <w:pPr>
        <w:pStyle w:val="TextOdst"/>
        <w:spacing w:lineRule="atLeast" w:line="238" w:before="57" w:after="57"/>
        <w:rPr>
          <w:sz w:val="24"/>
          <w:szCs w:val="24"/>
          <w:lang w:val="cs-CZ" w:eastAsia="cs-CZ"/>
        </w:rPr>
      </w:pPr>
      <w:r>
        <w:rPr>
          <w:sz w:val="24"/>
          <w:szCs w:val="24"/>
          <w:lang w:val="cs-CZ" w:eastAsia="cs-CZ"/>
        </w:rPr>
        <w:t>§ 3 pracovníci seznámení  obsluha elektrického zařízení mn, nn v krytí IP 20 a vyšším</w:t>
      </w:r>
    </w:p>
    <w:p>
      <w:pPr>
        <w:pStyle w:val="TextOdst"/>
        <w:spacing w:lineRule="atLeast" w:line="238" w:before="57" w:after="57"/>
        <w:rPr>
          <w:sz w:val="24"/>
          <w:szCs w:val="24"/>
          <w:lang w:val="cs-CZ" w:eastAsia="cs-CZ"/>
        </w:rPr>
      </w:pPr>
      <w:r>
        <w:rPr>
          <w:sz w:val="24"/>
          <w:szCs w:val="24"/>
          <w:lang w:val="cs-CZ" w:eastAsia="cs-CZ"/>
        </w:rPr>
        <w:t xml:space="preserve">§ 5 pracovníci znalí </w:t>
        <w:tab/>
        <w:t xml:space="preserve"> obsluha elektrického zařízení mn, nn v krytí IP 1x a menším </w:t>
      </w:r>
    </w:p>
    <w:p>
      <w:pPr>
        <w:pStyle w:val="TextOdst"/>
        <w:spacing w:lineRule="atLeast" w:line="238" w:before="57" w:after="57"/>
        <w:ind w:left="0" w:right="0" w:hanging="0"/>
        <w:rPr>
          <w:sz w:val="24"/>
          <w:szCs w:val="24"/>
          <w:lang w:val="cs-CZ" w:eastAsia="cs-CZ"/>
        </w:rPr>
      </w:pPr>
      <w:r>
        <w:rPr>
          <w:sz w:val="24"/>
          <w:szCs w:val="24"/>
          <w:lang w:val="cs-CZ" w:eastAsia="cs-CZ"/>
        </w:rPr>
        <w:t xml:space="preserve">                                                </w:t>
      </w:r>
      <w:r>
        <w:rPr>
          <w:sz w:val="24"/>
          <w:szCs w:val="24"/>
          <w:lang w:val="cs-CZ" w:eastAsia="cs-CZ"/>
        </w:rPr>
        <w:t>obsluha elektrického zařízení vn</w:t>
      </w:r>
    </w:p>
    <w:p>
      <w:pPr>
        <w:pStyle w:val="TextOdst"/>
        <w:spacing w:lineRule="atLeast" w:line="238" w:before="57" w:after="57"/>
        <w:rPr>
          <w:sz w:val="24"/>
          <w:szCs w:val="24"/>
          <w:lang w:val="cs-CZ" w:eastAsia="cs-CZ"/>
        </w:rPr>
      </w:pPr>
      <w:r>
        <w:rPr>
          <w:sz w:val="24"/>
          <w:szCs w:val="24"/>
          <w:lang w:val="cs-CZ" w:eastAsia="cs-CZ"/>
        </w:rPr>
        <w:tab/>
        <w:tab/>
        <w:tab/>
        <w:t xml:space="preserve">             práce na elektrických zařízeních</w:t>
      </w:r>
    </w:p>
    <w:p>
      <w:pPr>
        <w:pStyle w:val="TextOdst"/>
        <w:spacing w:lineRule="atLeast" w:line="240" w:before="120" w:after="0"/>
        <w:ind w:left="0" w:right="0" w:hanging="0"/>
        <w:jc w:val="both"/>
        <w:rPr>
          <w:sz w:val="24"/>
          <w:szCs w:val="24"/>
          <w:lang w:val="cs-CZ" w:eastAsia="cs-CZ"/>
        </w:rPr>
      </w:pPr>
      <w:r>
        <w:rPr>
          <w:sz w:val="24"/>
          <w:szCs w:val="24"/>
          <w:lang w:val="cs-CZ" w:eastAsia="cs-CZ"/>
        </w:rPr>
        <w:t>Tyto osoby musí prokázat znalost místních provozních a bezpečnostních předpisů, protipožárních opatření, první pomoci při úrazech elektřinou a znalost postupu a způsobu hlášení závad na svěřeném zařízení.  Osoby musí být kvalifikované i v souladu s místními předpisy.</w:t>
      </w:r>
    </w:p>
    <w:p>
      <w:pPr>
        <w:pStyle w:val="TextOdst"/>
        <w:spacing w:lineRule="atLeast" w:line="240" w:before="113" w:after="57"/>
        <w:ind w:left="0" w:right="0" w:hanging="0"/>
        <w:jc w:val="both"/>
        <w:rPr>
          <w:sz w:val="24"/>
          <w:szCs w:val="24"/>
        </w:rPr>
      </w:pPr>
      <w:r>
        <w:rPr>
          <w:sz w:val="24"/>
          <w:szCs w:val="24"/>
        </w:rPr>
        <w:t>Výstražné tabulky a nápisy:</w:t>
      </w:r>
    </w:p>
    <w:p>
      <w:pPr>
        <w:pStyle w:val="TextOdst"/>
        <w:spacing w:lineRule="atLeast" w:line="240" w:before="57" w:after="57"/>
        <w:ind w:left="0" w:right="0" w:hanging="0"/>
        <w:jc w:val="both"/>
        <w:rPr/>
      </w:pPr>
      <w:r>
        <w:rPr>
          <w:sz w:val="24"/>
          <w:szCs w:val="24"/>
          <w:lang w:val="cs-CZ" w:eastAsia="cs-CZ"/>
        </w:rPr>
        <w:t>Elektrická zařízení, popřípadě elektrické předměty, musí být před uvedením do provozu vybaveny bezpečnostními tabulkami a nápisy předepsanými pro tato zařízení příslušnými zařizovacími, předmětovými normami a Nařízením vlády</w:t>
      </w:r>
      <w:r>
        <w:rPr>
          <w:rFonts w:eastAsia="Arial Unicode MS;Arial"/>
          <w:sz w:val="24"/>
          <w:szCs w:val="24"/>
          <w:lang w:val="cs-CZ" w:eastAsia="cs-CZ"/>
        </w:rPr>
        <w:t xml:space="preserve"> </w:t>
      </w:r>
      <w:r>
        <w:rPr>
          <w:sz w:val="24"/>
          <w:szCs w:val="24"/>
          <w:lang w:val="cs-CZ" w:eastAsia="cs-CZ"/>
        </w:rPr>
        <w:t>č.11/2002 ve znění 119/2002 Sb a 405/2004 Sb. kterým se stanový vzhled a umístění bezpečnostních značek a zavedení signálů.</w:t>
      </w:r>
    </w:p>
    <w:p>
      <w:pPr>
        <w:pStyle w:val="TextOdst"/>
        <w:spacing w:lineRule="atLeast" w:line="240" w:before="57" w:after="57"/>
        <w:ind w:left="0" w:right="0" w:hanging="0"/>
        <w:jc w:val="both"/>
        <w:rPr>
          <w:sz w:val="24"/>
          <w:szCs w:val="24"/>
        </w:rPr>
      </w:pPr>
      <w:r>
        <w:rPr>
          <w:sz w:val="24"/>
          <w:szCs w:val="24"/>
        </w:rPr>
        <w:t>Obsluha elektrotechnických zařízení:</w:t>
      </w:r>
    </w:p>
    <w:p>
      <w:pPr>
        <w:pStyle w:val="TextOdst"/>
        <w:spacing w:lineRule="atLeast" w:line="240" w:before="57" w:after="57"/>
        <w:ind w:left="0" w:right="0" w:hanging="0"/>
        <w:jc w:val="both"/>
        <w:rPr>
          <w:sz w:val="24"/>
          <w:szCs w:val="24"/>
          <w:lang w:val="cs-CZ" w:eastAsia="cs-CZ"/>
        </w:rPr>
      </w:pPr>
      <w:r>
        <w:rPr>
          <w:sz w:val="24"/>
          <w:szCs w:val="24"/>
          <w:lang w:val="cs-CZ" w:eastAsia="cs-CZ"/>
        </w:rPr>
        <w:t>Osoby užívající elektrická zařízení musí být seznámeny s jeho obsluhou například formou návodu, nebo jiným doložitelným způsobem.</w:t>
      </w:r>
    </w:p>
    <w:p>
      <w:pPr>
        <w:pStyle w:val="TextOdst"/>
        <w:spacing w:lineRule="atLeast" w:line="240" w:before="113" w:after="57"/>
        <w:ind w:left="0" w:right="0" w:hanging="0"/>
        <w:jc w:val="both"/>
        <w:rPr/>
      </w:pPr>
      <w:r>
        <w:rPr>
          <w:sz w:val="24"/>
          <w:szCs w:val="24"/>
        </w:rPr>
        <w:t xml:space="preserve">Obsluha </w:t>
      </w:r>
      <w:r>
        <w:rPr>
          <w:rFonts w:eastAsia="Times New Roman" w:cs="Times New Roman"/>
          <w:bCs/>
          <w:color w:val="auto"/>
          <w:sz w:val="24"/>
          <w:szCs w:val="24"/>
          <w:lang w:val="cs-CZ" w:eastAsia="zh-CN" w:bidi="ar-SA"/>
        </w:rPr>
        <w:t>vyvíječe</w:t>
      </w:r>
      <w:r>
        <w:rPr>
          <w:sz w:val="24"/>
          <w:szCs w:val="24"/>
        </w:rPr>
        <w:t>:</w:t>
      </w:r>
    </w:p>
    <w:p>
      <w:pPr>
        <w:pStyle w:val="Zkladntextodsazen21"/>
        <w:tabs>
          <w:tab w:val="clear" w:pos="708"/>
          <w:tab w:val="left" w:pos="284" w:leader="none"/>
        </w:tabs>
        <w:spacing w:lineRule="auto" w:line="240" w:before="57" w:after="57"/>
        <w:ind w:left="0" w:right="0" w:hanging="0"/>
        <w:rPr/>
      </w:pPr>
      <w:r>
        <w:rPr/>
        <w:t>Kotelna bude provozována v plně automatickém režimu, obsluha kotelny bude občasná, tj. minimálně jednou za 24 hod bude provádět vizuální kontrolu zařízení kotelny (netěsnosti ucpávek armatur a spojů, volnost přístupových cest, funkčnost podlahové vpusti, celkový pořádek v kotelně). Mimo to bude dle dokumentace dodané se zařízením kontrolovat funkčnost jednotlivých obvodů MaR. Kontrola funkce pojistných ventilů bude ČSN 06 0830 prováděna min. jedenkrát za měsíc. Všechny poznatky bude obsluha pravidelně zapisovat do provozní knihy kotelny. Pr</w:t>
      </w:r>
      <w:r>
        <w:rPr>
          <w:szCs w:val="24"/>
        </w:rPr>
        <w:t>ovozní řád vydá provozovatel plynové kotelny dle ČSN 386405. Do provozního řádu je nutno zahrnout všechny pokyny pro obsluhu a údržbu, které dostane uživatel jako dokumentaci s kotli a ostatními zařízeními.</w:t>
      </w:r>
    </w:p>
    <w:p>
      <w:pPr>
        <w:pStyle w:val="Zkladntextodsazen21"/>
        <w:tabs>
          <w:tab w:val="clear" w:pos="708"/>
          <w:tab w:val="left" w:pos="284" w:leader="none"/>
        </w:tabs>
        <w:spacing w:lineRule="auto" w:line="240" w:before="57" w:after="57"/>
        <w:ind w:left="0" w:right="0" w:hanging="0"/>
        <w:rPr>
          <w:bCs/>
        </w:rPr>
      </w:pPr>
      <w:r>
        <w:rPr>
          <w:bCs/>
        </w:rPr>
        <w:t xml:space="preserve">V případě neobvyklých jevů bude dále obsluha postupovat dle návodů k obsluze a údržbě předaných zhotovitelem a dle provozního řádu, který dle § 10 vyhlášky č.91/1993 musí vydat provozovatel kotelny. </w:t>
      </w:r>
    </w:p>
    <w:p>
      <w:pPr>
        <w:pStyle w:val="Zkladntextodsazen21"/>
        <w:tabs>
          <w:tab w:val="clear" w:pos="708"/>
          <w:tab w:val="left" w:pos="284" w:leader="none"/>
        </w:tabs>
        <w:spacing w:lineRule="auto" w:line="240"/>
        <w:ind w:left="0" w:right="0" w:hanging="0"/>
        <w:rPr>
          <w:bCs/>
        </w:rPr>
      </w:pPr>
      <w:r>
        <w:rPr>
          <w:bCs/>
        </w:rPr>
        <w:t xml:space="preserve">Dále dle §166 ČSN 07 0703 provozovatel zajistí u revizních techniků provedení: </w:t>
      </w:r>
    </w:p>
    <w:p>
      <w:pPr>
        <w:pStyle w:val="Zkladntextodsazen21"/>
        <w:numPr>
          <w:ilvl w:val="0"/>
          <w:numId w:val="8"/>
        </w:numPr>
        <w:tabs>
          <w:tab w:val="clear" w:pos="708"/>
          <w:tab w:val="left" w:pos="284" w:leader="none"/>
        </w:tabs>
        <w:spacing w:lineRule="auto" w:line="240"/>
        <w:rPr>
          <w:bCs/>
        </w:rPr>
      </w:pPr>
      <w:r>
        <w:rPr>
          <w:bCs/>
        </w:rPr>
        <w:t xml:space="preserve">kontroly funkce indikátorů plynu </w:t>
      </w:r>
    </w:p>
    <w:p>
      <w:pPr>
        <w:pStyle w:val="Zkladntextodsazen21"/>
        <w:numPr>
          <w:ilvl w:val="0"/>
          <w:numId w:val="8"/>
        </w:numPr>
        <w:tabs>
          <w:tab w:val="clear" w:pos="708"/>
          <w:tab w:val="left" w:pos="284" w:leader="none"/>
        </w:tabs>
        <w:spacing w:lineRule="auto" w:line="240" w:before="0" w:after="0"/>
        <w:rPr>
          <w:bCs/>
        </w:rPr>
      </w:pPr>
      <w:r>
        <w:rPr>
          <w:bCs/>
        </w:rPr>
        <w:t xml:space="preserve">celkové kontroly </w:t>
      </w:r>
    </w:p>
    <w:p>
      <w:pPr>
        <w:pStyle w:val="Zkladntextodsazen21"/>
        <w:numPr>
          <w:ilvl w:val="0"/>
          <w:numId w:val="8"/>
        </w:numPr>
        <w:tabs>
          <w:tab w:val="clear" w:pos="708"/>
          <w:tab w:val="left" w:pos="284" w:leader="none"/>
        </w:tabs>
        <w:spacing w:lineRule="auto" w:line="240" w:before="0" w:after="0"/>
        <w:rPr>
          <w:bCs/>
        </w:rPr>
      </w:pPr>
      <w:r>
        <w:rPr>
          <w:bCs/>
        </w:rPr>
        <w:t xml:space="preserve">revize plynových zařízení a elektroregulace </w:t>
      </w:r>
    </w:p>
    <w:p>
      <w:pPr>
        <w:pStyle w:val="Zkladntextodsazen21"/>
        <w:numPr>
          <w:ilvl w:val="0"/>
          <w:numId w:val="8"/>
        </w:numPr>
        <w:tabs>
          <w:tab w:val="clear" w:pos="708"/>
          <w:tab w:val="left" w:pos="284" w:leader="none"/>
        </w:tabs>
        <w:spacing w:lineRule="auto" w:line="240" w:before="0" w:after="0"/>
        <w:rPr>
          <w:bCs/>
        </w:rPr>
      </w:pPr>
      <w:r>
        <w:rPr>
          <w:bCs/>
        </w:rPr>
        <w:t xml:space="preserve">kontrola těsnosti spojů plynového potrubí </w:t>
      </w:r>
    </w:p>
    <w:p>
      <w:pPr>
        <w:pStyle w:val="Zkladntextodsazen21"/>
        <w:tabs>
          <w:tab w:val="clear" w:pos="708"/>
          <w:tab w:val="left" w:pos="284" w:leader="none"/>
        </w:tabs>
        <w:spacing w:lineRule="auto" w:line="240" w:before="120" w:after="120"/>
        <w:ind w:left="0" w:right="0" w:hanging="0"/>
        <w:rPr>
          <w:bCs/>
        </w:rPr>
      </w:pPr>
      <w:r>
        <w:rPr>
          <w:bCs/>
        </w:rPr>
        <w:t xml:space="preserve">Dle ČSN 07 0703 musí být kotelna vybavena: </w:t>
      </w:r>
    </w:p>
    <w:p>
      <w:pPr>
        <w:pStyle w:val="Zkladntextodsazen21"/>
        <w:numPr>
          <w:ilvl w:val="0"/>
          <w:numId w:val="9"/>
        </w:numPr>
        <w:tabs>
          <w:tab w:val="clear" w:pos="708"/>
          <w:tab w:val="left" w:pos="284" w:leader="none"/>
        </w:tabs>
        <w:spacing w:lineRule="auto" w:line="240" w:before="0" w:after="0"/>
        <w:rPr>
          <w:bCs/>
        </w:rPr>
      </w:pPr>
      <w:r>
        <w:rPr>
          <w:bCs/>
        </w:rPr>
        <w:t xml:space="preserve">Na vstupních dveřích kotelny se zavíračem a z venkovní strany upevněnou bezpečnostní tabulkami s textem "KOTELNA - NEPOVOLANÝM VSTUP ZAKÁZÁN" a „ZÁKAZ VSTUPU S OTEVŘENÝM OHNĚM“ </w:t>
      </w:r>
    </w:p>
    <w:p>
      <w:pPr>
        <w:pStyle w:val="Zkladntextodsazen21"/>
        <w:numPr>
          <w:ilvl w:val="0"/>
          <w:numId w:val="9"/>
        </w:numPr>
        <w:tabs>
          <w:tab w:val="clear" w:pos="708"/>
          <w:tab w:val="left" w:pos="284" w:leader="none"/>
        </w:tabs>
        <w:spacing w:lineRule="auto" w:line="240" w:before="0" w:after="0"/>
        <w:rPr>
          <w:bCs/>
        </w:rPr>
      </w:pPr>
      <w:r>
        <w:rPr>
          <w:bCs/>
        </w:rPr>
        <w:t xml:space="preserve">Hasicím přístrojem </w:t>
      </w:r>
    </w:p>
    <w:p>
      <w:pPr>
        <w:pStyle w:val="Zkladntextodsazen21"/>
        <w:numPr>
          <w:ilvl w:val="0"/>
          <w:numId w:val="9"/>
        </w:numPr>
        <w:tabs>
          <w:tab w:val="clear" w:pos="708"/>
          <w:tab w:val="left" w:pos="284" w:leader="none"/>
        </w:tabs>
        <w:spacing w:lineRule="auto" w:line="240" w:before="0" w:after="0"/>
        <w:rPr>
          <w:bCs/>
        </w:rPr>
      </w:pPr>
      <w:r>
        <w:rPr>
          <w:bCs/>
        </w:rPr>
        <w:t xml:space="preserve">Pěnotvorným prostředkem nebo vhodným detektorem pro kontrolu těsnosti spojů plynového zařízení </w:t>
      </w:r>
    </w:p>
    <w:p>
      <w:pPr>
        <w:pStyle w:val="Zkladntextodsazen21"/>
        <w:numPr>
          <w:ilvl w:val="0"/>
          <w:numId w:val="9"/>
        </w:numPr>
        <w:tabs>
          <w:tab w:val="clear" w:pos="708"/>
          <w:tab w:val="left" w:pos="284" w:leader="none"/>
        </w:tabs>
        <w:spacing w:lineRule="auto" w:line="240" w:before="0" w:after="0"/>
        <w:rPr>
          <w:bCs/>
        </w:rPr>
      </w:pPr>
      <w:r>
        <w:rPr>
          <w:bCs/>
        </w:rPr>
        <w:t xml:space="preserve">Lékárničkou pro první pomoc </w:t>
      </w:r>
    </w:p>
    <w:p>
      <w:pPr>
        <w:pStyle w:val="Zkladntextodsazen21"/>
        <w:numPr>
          <w:ilvl w:val="0"/>
          <w:numId w:val="9"/>
        </w:numPr>
        <w:tabs>
          <w:tab w:val="clear" w:pos="708"/>
          <w:tab w:val="left" w:pos="284" w:leader="none"/>
        </w:tabs>
        <w:spacing w:lineRule="auto" w:line="240" w:before="0" w:after="0"/>
        <w:rPr>
          <w:bCs/>
        </w:rPr>
      </w:pPr>
      <w:r>
        <w:rPr>
          <w:bCs/>
        </w:rPr>
        <w:t xml:space="preserve">Bateriovou svítilnou </w:t>
      </w:r>
    </w:p>
    <w:p>
      <w:pPr>
        <w:pStyle w:val="Zkladntextodsazen21"/>
        <w:numPr>
          <w:ilvl w:val="0"/>
          <w:numId w:val="9"/>
        </w:numPr>
        <w:tabs>
          <w:tab w:val="clear" w:pos="708"/>
          <w:tab w:val="left" w:pos="284" w:leader="none"/>
        </w:tabs>
        <w:spacing w:lineRule="auto" w:line="240" w:before="0" w:after="0"/>
        <w:rPr>
          <w:bCs/>
        </w:rPr>
      </w:pPr>
      <w:r>
        <w:rPr>
          <w:bCs/>
        </w:rPr>
        <w:t>Detektorem na kysličník uhelnatý – již v MaR</w:t>
      </w:r>
    </w:p>
    <w:p>
      <w:pPr>
        <w:pStyle w:val="Zkladntextodsazen21"/>
        <w:numPr>
          <w:ilvl w:val="0"/>
          <w:numId w:val="9"/>
        </w:numPr>
        <w:tabs>
          <w:tab w:val="clear" w:pos="708"/>
          <w:tab w:val="left" w:pos="284" w:leader="none"/>
        </w:tabs>
        <w:spacing w:lineRule="auto" w:line="240" w:before="0" w:after="0"/>
        <w:rPr>
          <w:bCs/>
        </w:rPr>
      </w:pPr>
      <w:r>
        <w:rPr>
          <w:bCs/>
        </w:rPr>
        <w:t>Místním provozním řádem a deníkem</w:t>
      </w:r>
    </w:p>
    <w:p>
      <w:pPr>
        <w:pStyle w:val="Nadpis1"/>
        <w:keepNext w:val="true"/>
        <w:widowControl/>
        <w:bidi w:val="0"/>
        <w:spacing w:before="170" w:after="113"/>
        <w:ind w:left="567" w:right="0" w:hanging="567"/>
        <w:jc w:val="both"/>
        <w:rPr/>
      </w:pPr>
      <w:bookmarkStart w:id="25" w:name="__RefHeading___Toc515456921"/>
      <w:bookmarkEnd w:id="25"/>
      <w:r>
        <w:rPr/>
        <w:t>ochrana životního prostředí, ochrana proti hluku a vibracím, požární opatření</w:t>
      </w:r>
    </w:p>
    <w:p>
      <w:pPr>
        <w:pStyle w:val="Zkladntext31"/>
        <w:overflowPunct w:val="false"/>
        <w:spacing w:lineRule="auto" w:line="240" w:before="170" w:after="113"/>
        <w:textAlignment w:val="auto"/>
        <w:rPr>
          <w:szCs w:val="22"/>
          <w:lang w:eastAsia="en-US"/>
        </w:rPr>
      </w:pPr>
      <w:r>
        <w:rPr>
          <w:szCs w:val="22"/>
          <w:lang w:eastAsia="en-US"/>
        </w:rPr>
        <w:t>Při průchodu kabelů stěnou mezi požárními úseky bude prostup protipožárně utěsněn. Veškerá uložení budou certifikovaná.</w:t>
      </w:r>
    </w:p>
    <w:p>
      <w:pPr>
        <w:pStyle w:val="Nadpis1"/>
        <w:keepNext w:val="true"/>
        <w:widowControl/>
        <w:bidi w:val="0"/>
        <w:spacing w:before="170" w:after="113"/>
        <w:ind w:left="567" w:right="0" w:hanging="567"/>
        <w:jc w:val="both"/>
        <w:rPr/>
      </w:pPr>
      <w:bookmarkStart w:id="26" w:name="__RefHeading___Toc515456922"/>
      <w:bookmarkEnd w:id="26"/>
      <w:r>
        <w:rPr/>
        <w:t>požadavky na postup realizačních prací a podmínky projektanta pro realizaci díla, jeho uvedení do provozu a provozování během životnosti stavby</w:t>
      </w:r>
    </w:p>
    <w:p>
      <w:pPr>
        <w:pStyle w:val="Prosttext1"/>
        <w:spacing w:lineRule="atLeast" w:line="240" w:before="120" w:after="0"/>
        <w:jc w:val="both"/>
        <w:rPr>
          <w:color w:val="000000"/>
        </w:rPr>
      </w:pPr>
      <w:r>
        <w:rPr>
          <w:color w:val="000000"/>
        </w:rPr>
        <w:t>Budou dodrženy technické standardy uvedených použitých ČSN.</w:t>
      </w:r>
    </w:p>
    <w:p>
      <w:pPr>
        <w:pStyle w:val="Normal"/>
        <w:spacing w:lineRule="atLeast" w:line="0" w:before="57" w:after="57"/>
        <w:ind w:left="0" w:right="0" w:hanging="0"/>
        <w:jc w:val="both"/>
        <w:rPr>
          <w:rFonts w:ascii="Times New Roman" w:hAnsi="Times New Roman"/>
          <w:sz w:val="24"/>
          <w:szCs w:val="24"/>
        </w:rPr>
      </w:pPr>
      <w:r>
        <w:rPr>
          <w:rFonts w:ascii="Times New Roman" w:hAnsi="Times New Roman"/>
          <w:sz w:val="24"/>
          <w:szCs w:val="24"/>
        </w:rPr>
        <w:t>Dodavatel zaškolí obsluhu .</w:t>
      </w:r>
    </w:p>
    <w:p>
      <w:pPr>
        <w:pStyle w:val="Normal"/>
        <w:spacing w:lineRule="atLeast" w:line="0" w:before="57" w:after="57"/>
        <w:jc w:val="both"/>
        <w:rPr>
          <w:rFonts w:ascii="Times New Roman" w:hAnsi="Times New Roman"/>
          <w:sz w:val="24"/>
          <w:szCs w:val="24"/>
        </w:rPr>
      </w:pPr>
      <w:r>
        <w:rPr>
          <w:rFonts w:ascii="Times New Roman" w:hAnsi="Times New Roman"/>
          <w:sz w:val="24"/>
          <w:szCs w:val="24"/>
        </w:rPr>
        <w:t>Jednotlivé sekce označit štítky s názvy sekcí, čerpadla popsat v souladu s označením v el. rozvaděči a zvyklostmi investora. Jednotlivá potrubí označit štítky se směrem toku média a s názvem média.</w:t>
      </w:r>
    </w:p>
    <w:p>
      <w:pPr>
        <w:pStyle w:val="Normal"/>
        <w:spacing w:lineRule="atLeast" w:line="0" w:before="57" w:after="57"/>
        <w:jc w:val="both"/>
        <w:rPr>
          <w:rFonts w:ascii="Times New Roman" w:hAnsi="Times New Roman"/>
          <w:sz w:val="24"/>
          <w:szCs w:val="24"/>
        </w:rPr>
      </w:pPr>
      <w:r>
        <w:rPr>
          <w:rFonts w:ascii="Times New Roman" w:hAnsi="Times New Roman"/>
          <w:sz w:val="24"/>
          <w:szCs w:val="24"/>
        </w:rPr>
        <w:t>Doby plného vytápění a útlumu a časový režim vytápění bude nastaven dle skutečných požadavků provozu.</w:t>
      </w:r>
    </w:p>
    <w:p>
      <w:pPr>
        <w:pStyle w:val="Normal"/>
        <w:spacing w:lineRule="atLeast" w:line="0" w:before="57" w:after="57"/>
        <w:jc w:val="both"/>
        <w:rPr>
          <w:rFonts w:ascii="Times New Roman" w:hAnsi="Times New Roman"/>
          <w:sz w:val="24"/>
          <w:szCs w:val="24"/>
        </w:rPr>
      </w:pPr>
      <w:r>
        <w:rPr>
          <w:rFonts w:ascii="Times New Roman" w:hAnsi="Times New Roman"/>
          <w:sz w:val="24"/>
          <w:szCs w:val="24"/>
        </w:rPr>
        <w:t>Obsluha občasná v intervalech stanovených provozním řádem. Obsluha musí být odborně způsobilá, starší 18-ti let a splňovat požadavky příslušných předpisů.</w:t>
      </w:r>
    </w:p>
    <w:p>
      <w:pPr>
        <w:pStyle w:val="Normal"/>
        <w:spacing w:lineRule="atLeast" w:line="0" w:before="57" w:after="57"/>
        <w:jc w:val="both"/>
        <w:rPr>
          <w:rFonts w:ascii="Times New Roman" w:hAnsi="Times New Roman"/>
          <w:sz w:val="24"/>
          <w:szCs w:val="24"/>
        </w:rPr>
      </w:pPr>
      <w:r>
        <w:rPr>
          <w:rFonts w:ascii="Times New Roman" w:hAnsi="Times New Roman"/>
          <w:sz w:val="24"/>
          <w:szCs w:val="24"/>
        </w:rPr>
        <w:t>Provoz zařízení v automatickém režimu dle provozního řádu. Provozní dokumentace pro provoz, údržbu, obsluhu a užívání bude zpracována dle ČSN EN 12170-Tepelné soustavy vyžadující kvalifikovanou obsluhu.</w:t>
      </w:r>
    </w:p>
    <w:p>
      <w:pPr>
        <w:pStyle w:val="Normal"/>
        <w:spacing w:lineRule="atLeast" w:line="0" w:before="57" w:after="57"/>
        <w:jc w:val="both"/>
        <w:rPr>
          <w:rFonts w:ascii="Times New Roman" w:hAnsi="Times New Roman"/>
          <w:sz w:val="24"/>
          <w:szCs w:val="24"/>
        </w:rPr>
      </w:pPr>
      <w:r>
        <w:rPr>
          <w:rFonts w:ascii="Times New Roman" w:hAnsi="Times New Roman"/>
          <w:sz w:val="24"/>
          <w:szCs w:val="24"/>
        </w:rPr>
        <w:t>Provozní dokumentace má zajistit,aby pro tepelnou soustavu byl k dispozici její trvalý popis a soubor návodů a požadavků pro provoz, údržbu, obsluhu a užívání, aby tak byla zajištěna bezpečnost zařízení, hospodárná spotřeba energie a řízení kvality prostředí.</w:t>
      </w:r>
    </w:p>
    <w:p>
      <w:pPr>
        <w:pStyle w:val="Normal"/>
        <w:spacing w:lineRule="atLeast" w:line="0" w:before="57" w:after="57"/>
        <w:jc w:val="both"/>
        <w:rPr>
          <w:rFonts w:ascii="Times New Roman" w:hAnsi="Times New Roman"/>
          <w:sz w:val="24"/>
          <w:szCs w:val="24"/>
        </w:rPr>
      </w:pPr>
      <w:r>
        <w:rPr>
          <w:rFonts w:ascii="Times New Roman" w:hAnsi="Times New Roman"/>
          <w:sz w:val="24"/>
          <w:szCs w:val="24"/>
        </w:rPr>
        <w:t>Dokumentaci zpracovává majitel tepelné soustavy ve spolupráci s pracovníky montáže přejímacími osobami na základě technických podkladů výrobců zařízení a příslušné ČSN.</w:t>
      </w:r>
    </w:p>
    <w:p>
      <w:pPr>
        <w:pStyle w:val="Normal"/>
        <w:spacing w:lineRule="atLeast" w:line="0" w:before="57" w:after="57"/>
        <w:jc w:val="both"/>
        <w:rPr>
          <w:rFonts w:ascii="Times New Roman" w:hAnsi="Times New Roman"/>
          <w:sz w:val="24"/>
          <w:szCs w:val="24"/>
        </w:rPr>
      </w:pPr>
      <w:r>
        <w:rPr>
          <w:rFonts w:ascii="Times New Roman" w:hAnsi="Times New Roman"/>
          <w:sz w:val="24"/>
          <w:szCs w:val="24"/>
        </w:rPr>
        <w:t>Obsluha musí provádět kontrolu v pravidelných lhůtách stanovených provozním řádem. Při signalizaci poruchy nebo odstavení z provozu při poruše zařízení musí obsluha zjistit příčinu, odstranit ji a uvést zařízení do provozu.</w:t>
      </w:r>
    </w:p>
    <w:p>
      <w:pPr>
        <w:pStyle w:val="Normal"/>
        <w:spacing w:lineRule="atLeast" w:line="0" w:before="57" w:after="57"/>
        <w:jc w:val="both"/>
        <w:rPr>
          <w:rFonts w:ascii="Times New Roman" w:hAnsi="Times New Roman"/>
          <w:sz w:val="24"/>
          <w:szCs w:val="24"/>
        </w:rPr>
      </w:pPr>
      <w:r>
        <w:rPr>
          <w:rFonts w:ascii="Times New Roman" w:hAnsi="Times New Roman"/>
          <w:sz w:val="24"/>
          <w:szCs w:val="24"/>
        </w:rPr>
        <w:t>Odborné práce musí provádět pracovníci, kteří jsou vyučeni nebo odborně zaškoleni. Před zahájením prací musí být všichni pracovníci prokazatelně seznámeni  s bezpečnostními předpisy.</w:t>
      </w:r>
    </w:p>
    <w:p>
      <w:pPr>
        <w:pStyle w:val="Normal"/>
        <w:spacing w:lineRule="atLeast" w:line="0" w:before="57" w:after="57"/>
        <w:jc w:val="both"/>
        <w:rPr>
          <w:rFonts w:ascii="Times New Roman" w:hAnsi="Times New Roman"/>
          <w:sz w:val="24"/>
          <w:szCs w:val="24"/>
        </w:rPr>
      </w:pPr>
      <w:r>
        <w:rPr>
          <w:rFonts w:ascii="Times New Roman" w:hAnsi="Times New Roman"/>
          <w:sz w:val="24"/>
          <w:szCs w:val="24"/>
        </w:rPr>
        <w:t>Při realizaci projektu je nutné používat pouze takové výrobky, které splňují požadavky zákonů o technických požadavcích  na výrobky ( prokázání  shody s požadavky norem a předpisů).</w:t>
      </w:r>
    </w:p>
    <w:p>
      <w:pPr>
        <w:pStyle w:val="Normal"/>
        <w:spacing w:lineRule="atLeast" w:line="0" w:before="57" w:after="57"/>
        <w:jc w:val="both"/>
        <w:rPr>
          <w:rFonts w:ascii="Times New Roman" w:hAnsi="Times New Roman"/>
          <w:sz w:val="24"/>
          <w:szCs w:val="24"/>
        </w:rPr>
      </w:pPr>
      <w:r>
        <w:rPr>
          <w:rFonts w:ascii="Times New Roman" w:hAnsi="Times New Roman"/>
          <w:sz w:val="24"/>
          <w:szCs w:val="24"/>
        </w:rPr>
        <w:t>Veškeré instalace musí být provedeny dle platných norem při dodržení technických podmínek a technologických postupů daných výrobci.</w:t>
      </w:r>
    </w:p>
    <w:p>
      <w:pPr>
        <w:pStyle w:val="Normal"/>
        <w:spacing w:lineRule="atLeast" w:line="0" w:before="57" w:after="57"/>
        <w:jc w:val="both"/>
        <w:rPr>
          <w:rFonts w:ascii="Times New Roman" w:hAnsi="Times New Roman"/>
          <w:sz w:val="24"/>
          <w:szCs w:val="24"/>
        </w:rPr>
      </w:pPr>
      <w:r>
        <w:rPr>
          <w:rFonts w:ascii="Times New Roman" w:hAnsi="Times New Roman"/>
          <w:sz w:val="24"/>
          <w:szCs w:val="24"/>
        </w:rPr>
        <w:t>Po provedení stavby bude provedena topná zkouška. Při dokončení mimo topné období se topná zkouška provede až v topném období. Zkoušky se účastní zástupci investora, uživatele, dodavatele. Po ukončení zkoušky se její výsledek zhodnotí a zapíše do protokolu.</w:t>
      </w:r>
    </w:p>
    <w:p>
      <w:pPr>
        <w:pStyle w:val="Normal"/>
        <w:spacing w:lineRule="atLeast" w:line="0" w:before="57" w:after="57"/>
        <w:jc w:val="both"/>
        <w:rPr>
          <w:rFonts w:ascii="Times New Roman" w:hAnsi="Times New Roman"/>
          <w:sz w:val="24"/>
          <w:szCs w:val="24"/>
        </w:rPr>
      </w:pPr>
      <w:r>
        <w:rPr>
          <w:rFonts w:ascii="Times New Roman" w:hAnsi="Times New Roman"/>
          <w:sz w:val="24"/>
          <w:szCs w:val="24"/>
        </w:rPr>
        <w:t>Dodavatel zajistí na své náklady dokumentaci skutečného provedení a dokladové části.</w:t>
      </w:r>
    </w:p>
    <w:p>
      <w:pPr>
        <w:pStyle w:val="Normal"/>
        <w:spacing w:lineRule="atLeast" w:line="0" w:before="57" w:after="57"/>
        <w:jc w:val="both"/>
        <w:rPr>
          <w:rFonts w:ascii="Times New Roman" w:hAnsi="Times New Roman"/>
          <w:color w:val="000000"/>
          <w:sz w:val="24"/>
          <w:szCs w:val="24"/>
        </w:rPr>
      </w:pPr>
      <w:r>
        <w:rPr>
          <w:rFonts w:ascii="Times New Roman" w:hAnsi="Times New Roman"/>
          <w:color w:val="000000"/>
          <w:sz w:val="24"/>
          <w:szCs w:val="24"/>
        </w:rPr>
        <w:t>Součástí každé dodávky je i příslušná dokumentace (atesty vč. atestů požárních odolností a odborné montáže a příslušných záruk, technické parametry, návody k obsluze, prohlášení o shodě, prohlášení o odborné montáži včetně doložení oprávnění k jejímu provádění).</w:t>
      </w:r>
    </w:p>
    <w:p>
      <w:pPr>
        <w:pStyle w:val="Podnadpis"/>
        <w:spacing w:lineRule="atLeast" w:line="240" w:before="113" w:after="57"/>
        <w:jc w:val="both"/>
        <w:rPr>
          <w:szCs w:val="24"/>
        </w:rPr>
      </w:pPr>
      <w:r>
        <w:rPr>
          <w:szCs w:val="24"/>
        </w:rPr>
        <w:t>KOMPLEXNÍ ZKOUŠKY</w:t>
      </w:r>
    </w:p>
    <w:p>
      <w:pPr>
        <w:pStyle w:val="Prosttext1"/>
        <w:spacing w:lineRule="atLeast" w:line="240" w:before="57" w:after="57"/>
        <w:jc w:val="both"/>
        <w:rPr>
          <w:color w:val="000000"/>
          <w:szCs w:val="24"/>
        </w:rPr>
      </w:pPr>
      <w:r>
        <w:rPr>
          <w:color w:val="000000"/>
          <w:szCs w:val="24"/>
        </w:rPr>
        <w:t>Po úspěšném ukončení všech dílčích provozních zkoušek zařízení v rámci tohoto projektu i všech PS navazujících, je možno přistoupit ke zkouškám komplexním.</w:t>
      </w:r>
    </w:p>
    <w:p>
      <w:pPr>
        <w:pStyle w:val="Prosttext1"/>
        <w:spacing w:lineRule="atLeast" w:line="240" w:before="57" w:after="57"/>
        <w:jc w:val="both"/>
        <w:rPr>
          <w:color w:val="000000"/>
          <w:szCs w:val="24"/>
        </w:rPr>
      </w:pPr>
      <w:r>
        <w:rPr>
          <w:color w:val="000000"/>
          <w:szCs w:val="24"/>
        </w:rPr>
        <w:t>Účelem  komplexních zkoušek je prokázat, že technologická zařízení, montovaná dle schválené projektové dokumentace mají požadované technické parametry a jako celek jsou schopna trvalého provozu dle projektovaných podmínek.</w:t>
      </w:r>
    </w:p>
    <w:p>
      <w:pPr>
        <w:pStyle w:val="TextOdst"/>
        <w:spacing w:lineRule="atLeast" w:line="240" w:before="170" w:after="113"/>
        <w:ind w:left="0" w:right="0" w:hanging="0"/>
        <w:jc w:val="both"/>
        <w:rPr>
          <w:rFonts w:ascii="Arial" w:hAnsi="Arial" w:cs="Arial"/>
          <w:b/>
          <w:b/>
          <w:bCs/>
          <w:iCs/>
          <w:sz w:val="24"/>
        </w:rPr>
      </w:pPr>
      <w:r>
        <w:rPr>
          <w:rFonts w:cs="Arial" w:ascii="Arial" w:hAnsi="Arial"/>
          <w:b/>
          <w:bCs/>
          <w:iCs/>
          <w:sz w:val="24"/>
        </w:rPr>
        <w:t>REVIZE</w:t>
      </w:r>
    </w:p>
    <w:p>
      <w:pPr>
        <w:pStyle w:val="TextOdst"/>
        <w:spacing w:lineRule="atLeast" w:line="240" w:before="57" w:after="57"/>
        <w:ind w:left="0" w:right="0" w:hanging="0"/>
        <w:jc w:val="both"/>
        <w:rPr>
          <w:sz w:val="24"/>
          <w:szCs w:val="24"/>
          <w:lang w:val="cs-CZ" w:eastAsia="cs-CZ"/>
        </w:rPr>
      </w:pPr>
      <w:r>
        <w:rPr>
          <w:sz w:val="24"/>
          <w:szCs w:val="24"/>
          <w:lang w:val="cs-CZ" w:eastAsia="cs-CZ"/>
        </w:rPr>
        <w:t>Výchozí revizi provede dodavatel montážních prací podle ČSN 33 1500 a podle ČSN 33 2000-6-61. Další revize (periodické) bude provádět provozovatel ve stanovených lhůtách a po každé opravě vyvolané poruchou, či poškozením elektrického zařízení.</w:t>
      </w:r>
    </w:p>
    <w:p>
      <w:pPr>
        <w:pStyle w:val="Nadpiszkladn"/>
        <w:keepNext w:val="false"/>
        <w:keepLines w:val="false"/>
        <w:tabs>
          <w:tab w:val="clear" w:pos="284"/>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s>
        <w:spacing w:before="170" w:after="57"/>
        <w:rPr>
          <w:b/>
          <w:b/>
          <w:bCs/>
          <w:iCs/>
        </w:rPr>
      </w:pPr>
      <w:r>
        <w:rPr>
          <w:b/>
          <w:bCs/>
          <w:iCs/>
        </w:rPr>
        <w:t>POŽADAVKY NA OSTATNÍ DODAVATELE</w:t>
      </w:r>
    </w:p>
    <w:p>
      <w:pPr>
        <w:pStyle w:val="Nadpiszkladn"/>
        <w:keepNext w:val="false"/>
        <w:keepLines w:val="false"/>
        <w:tabs>
          <w:tab w:val="clear" w:pos="284"/>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s>
        <w:spacing w:before="57" w:after="57"/>
        <w:rPr/>
      </w:pPr>
      <w:r>
        <w:rPr>
          <w:rFonts w:cs="Times New Roman" w:ascii="Times New Roman" w:hAnsi="Times New Roman"/>
          <w:spacing w:val="0"/>
          <w:kern w:val="0"/>
        </w:rPr>
        <w:t xml:space="preserve">Profese elektro zajistí jištěný přívod do rozvaděče MaR ze sítě </w:t>
      </w:r>
      <w:r>
        <w:rPr>
          <w:rFonts w:cs="Times New Roman" w:ascii="Times New Roman" w:hAnsi="Times New Roman"/>
        </w:rPr>
        <w:t>TN-C-S 3L+PE+N 400V, 50 Hz dle části 8</w:t>
      </w:r>
      <w:r>
        <w:rPr>
          <w:rFonts w:cs="Times New Roman" w:ascii="Times New Roman" w:hAnsi="Times New Roman"/>
          <w:spacing w:val="0"/>
          <w:kern w:val="0"/>
        </w:rPr>
        <w:t>.</w:t>
      </w:r>
    </w:p>
    <w:p>
      <w:pPr>
        <w:pStyle w:val="Nadpiszkladn"/>
        <w:keepNext w:val="false"/>
        <w:keepLines w:val="false"/>
        <w:tabs>
          <w:tab w:val="clear" w:pos="284"/>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s>
        <w:spacing w:before="57" w:after="57"/>
        <w:rPr/>
      </w:pPr>
      <w:r>
        <w:rPr>
          <w:rFonts w:cs="Times New Roman" w:ascii="Times New Roman" w:hAnsi="Times New Roman"/>
          <w:spacing w:val="0"/>
          <w:kern w:val="0"/>
        </w:rPr>
        <w:t xml:space="preserve">Jištění bude v rozvaděči elektro, </w:t>
      </w:r>
      <w:r>
        <w:rPr>
          <w:rFonts w:cs="Times New Roman" w:ascii="Times New Roman" w:hAnsi="Times New Roman"/>
        </w:rPr>
        <w:t xml:space="preserve"> předřazeny budou přepěťové ochrany stupeň  T1, T2 (B,C)</w:t>
      </w:r>
    </w:p>
    <w:p>
      <w:pPr>
        <w:pStyle w:val="Nadpiszkladn"/>
        <w:keepNext w:val="false"/>
        <w:keepLines w:val="false"/>
        <w:tabs>
          <w:tab w:val="clear" w:pos="284"/>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s>
        <w:spacing w:before="57" w:after="57"/>
        <w:rPr/>
      </w:pPr>
      <w:r>
        <w:rPr>
          <w:rFonts w:cs="Times New Roman" w:ascii="Times New Roman" w:hAnsi="Times New Roman"/>
          <w:spacing w:val="0"/>
          <w:kern w:val="0"/>
        </w:rPr>
        <w:t xml:space="preserve">Profese elektro zajistí jištěný přívod k </w:t>
      </w:r>
      <w:r>
        <w:rPr>
          <w:rFonts w:eastAsia="Times New Roman" w:cs="Times New Roman" w:ascii="Times New Roman" w:hAnsi="Times New Roman"/>
          <w:color w:val="auto"/>
          <w:spacing w:val="0"/>
          <w:kern w:val="0"/>
          <w:sz w:val="24"/>
          <w:szCs w:val="20"/>
          <w:lang w:val="cs-CZ" w:eastAsia="zh-CN" w:bidi="ar-SA"/>
        </w:rPr>
        <w:t>parnímu vyvíječi a jeho napájecímu bloku</w:t>
      </w:r>
      <w:r>
        <w:rPr>
          <w:rFonts w:cs="Times New Roman" w:ascii="Times New Roman" w:hAnsi="Times New Roman"/>
          <w:spacing w:val="0"/>
          <w:kern w:val="0"/>
        </w:rPr>
        <w:t xml:space="preserve">  -dle podkladů dodavatele </w:t>
      </w:r>
      <w:r>
        <w:rPr>
          <w:rFonts w:eastAsia="Times New Roman" w:cs="Times New Roman" w:ascii="Times New Roman" w:hAnsi="Times New Roman"/>
          <w:color w:val="auto"/>
          <w:spacing w:val="0"/>
          <w:kern w:val="0"/>
          <w:sz w:val="24"/>
          <w:szCs w:val="20"/>
          <w:lang w:val="cs-CZ" w:eastAsia="zh-CN" w:bidi="ar-SA"/>
        </w:rPr>
        <w:t>vyvíječe.</w:t>
      </w:r>
    </w:p>
    <w:p>
      <w:pPr>
        <w:pStyle w:val="Normal"/>
        <w:spacing w:before="57" w:after="57"/>
        <w:jc w:val="both"/>
        <w:rPr/>
      </w:pPr>
      <w:r>
        <w:rPr>
          <w:rFonts w:cs="Times New Roman" w:ascii="Times New Roman" w:hAnsi="Times New Roman"/>
          <w:sz w:val="24"/>
        </w:rPr>
        <w:t xml:space="preserve">Pro napojení systému na dálkovou správu profese slaboproudu zajistí přivedení místního technologického ethernetu -2x zásuvka RJ45 do místnosti rozvaděče </w:t>
      </w:r>
      <w:r>
        <w:rPr>
          <w:rFonts w:eastAsia="Times New Roman" w:cs="Times New Roman" w:ascii="Times New Roman" w:hAnsi="Times New Roman"/>
          <w:color w:val="auto"/>
          <w:sz w:val="24"/>
          <w:szCs w:val="22"/>
          <w:lang w:val="cs-CZ" w:eastAsia="zh-CN" w:bidi="ar-SA"/>
        </w:rPr>
        <w:t>BI</w:t>
      </w:r>
    </w:p>
    <w:p>
      <w:pPr>
        <w:pStyle w:val="Normal"/>
        <w:spacing w:before="57" w:after="57"/>
        <w:jc w:val="both"/>
        <w:rPr>
          <w:rFonts w:ascii="Times New Roman" w:hAnsi="Times New Roman" w:cs="Times New Roman"/>
          <w:sz w:val="24"/>
        </w:rPr>
      </w:pPr>
      <w:r>
        <w:rPr>
          <w:rFonts w:cs="Times New Roman" w:ascii="Times New Roman" w:hAnsi="Times New Roman"/>
          <w:sz w:val="24"/>
        </w:rPr>
        <w:t>Profese EPS zajistí (v případě, že v objektu je osazena EPS příslušného vybavení)  přivedení rozpínacího signalizačního kontaktu od požáru do kotelny.</w:t>
      </w:r>
    </w:p>
    <w:p>
      <w:pPr>
        <w:pStyle w:val="Nadpiszkladn"/>
        <w:tabs>
          <w:tab w:val="clear" w:pos="284"/>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s>
        <w:spacing w:before="113" w:after="57"/>
        <w:jc w:val="both"/>
        <w:rPr>
          <w:rFonts w:eastAsia="Times New Roman" w:cs="Arial"/>
          <w:b/>
          <w:b/>
          <w:bCs/>
          <w:iCs/>
          <w:color w:val="auto"/>
          <w:spacing w:val="-10"/>
          <w:kern w:val="2"/>
          <w:sz w:val="24"/>
          <w:szCs w:val="20"/>
          <w:lang w:val="cs-CZ" w:eastAsia="zh-CN" w:bidi="ar-SA"/>
        </w:rPr>
      </w:pPr>
      <w:r>
        <w:rPr>
          <w:rFonts w:eastAsia="Times New Roman" w:cs="Arial"/>
          <w:b/>
          <w:bCs/>
          <w:iCs/>
          <w:color w:val="auto"/>
          <w:spacing w:val="-10"/>
          <w:kern w:val="2"/>
          <w:sz w:val="24"/>
          <w:szCs w:val="20"/>
          <w:lang w:val="cs-CZ" w:eastAsia="zh-CN" w:bidi="ar-SA"/>
        </w:rPr>
        <w:t>ZÁVĚR</w:t>
      </w:r>
    </w:p>
    <w:p>
      <w:pPr>
        <w:pStyle w:val="Zkladntextodsazen3"/>
        <w:spacing w:lineRule="atLeast" w:line="0" w:before="57" w:after="57"/>
        <w:ind w:left="0" w:right="0" w:hanging="0"/>
        <w:jc w:val="both"/>
        <w:rPr/>
      </w:pPr>
      <w:r>
        <w:rPr>
          <w:rFonts w:cs="Times New Roman"/>
          <w:sz w:val="24"/>
          <w:szCs w:val="24"/>
        </w:rPr>
        <w:t xml:space="preserve">Tento projekt provedení stavby část </w:t>
      </w:r>
      <w:r>
        <w:rPr>
          <w:rFonts w:eastAsia="Times New Roman" w:cs="Times New Roman"/>
          <w:color w:val="auto"/>
          <w:sz w:val="24"/>
          <w:szCs w:val="24"/>
          <w:lang w:val="cs-CZ" w:eastAsia="zh-CN" w:bidi="ar-SA"/>
        </w:rPr>
        <w:t>měření a regulace</w:t>
      </w:r>
      <w:r>
        <w:rPr>
          <w:rFonts w:cs="Times New Roman"/>
          <w:sz w:val="24"/>
          <w:szCs w:val="24"/>
        </w:rPr>
        <w:t>, obsahuje veškeré náležitosti, které ze zákonných ustanovení, směrnic i obecných požadavků na tento projektový stupeň má obsahovat.</w:t>
      </w:r>
    </w:p>
    <w:p>
      <w:pPr>
        <w:pStyle w:val="Zkladntextodsazen3"/>
        <w:spacing w:lineRule="atLeast" w:line="0" w:before="57" w:after="57"/>
        <w:ind w:left="0" w:right="0" w:hanging="0"/>
        <w:jc w:val="both"/>
        <w:rPr>
          <w:rFonts w:cs="Times New Roman"/>
          <w:sz w:val="24"/>
          <w:szCs w:val="24"/>
        </w:rPr>
      </w:pPr>
      <w:r>
        <w:rPr>
          <w:rFonts w:cs="Times New Roman"/>
          <w:sz w:val="24"/>
          <w:szCs w:val="24"/>
        </w:rPr>
        <w:t>V případě jeho využití k jiným účelům nebere zpracovatel jakékoli záruky na případné škody vzniklé jeho využitím k účelu, pro který nebyl zpracován. Dodavatel stavby zajistí zaškolení obsluhy  - provozovatele zařízení včetně předání návodů k obsluze za všech provozních podmínek.</w:t>
      </w:r>
    </w:p>
    <w:p>
      <w:pPr>
        <w:pStyle w:val="Normal"/>
        <w:spacing w:lineRule="atLeast" w:line="0" w:before="57" w:after="57"/>
        <w:ind w:left="0" w:right="0" w:hanging="0"/>
        <w:jc w:val="both"/>
        <w:rPr>
          <w:rFonts w:ascii="Times New Roman" w:hAnsi="Times New Roman" w:cs="Times New Roman"/>
          <w:sz w:val="24"/>
          <w:szCs w:val="24"/>
        </w:rPr>
      </w:pPr>
      <w:r>
        <w:rPr>
          <w:rFonts w:cs="Times New Roman" w:ascii="Times New Roman" w:hAnsi="Times New Roman"/>
          <w:sz w:val="24"/>
          <w:szCs w:val="24"/>
        </w:rPr>
        <w:t>Dodavatel si zajistí dokumentaci pro realizaci stavby upravenou dle podkladů a návodů na montáž dodavatelů vzešlých z výběrového řízení. Zařízené uvedené v projektové dokumentaci slouží jako kvalitativní a výkonnostní vzor. V rámci dodávek bude brán ohled na rámcové servisní smlouvy investora pro ČR.</w:t>
      </w:r>
    </w:p>
    <w:p>
      <w:pPr>
        <w:pStyle w:val="Normal"/>
        <w:spacing w:lineRule="atLeast" w:line="0" w:before="57" w:after="57"/>
        <w:ind w:left="0" w:right="0" w:hanging="0"/>
        <w:jc w:val="both"/>
        <w:rPr/>
      </w:pPr>
      <w:r>
        <w:rPr>
          <w:rFonts w:cs="Times New Roman" w:ascii="Times New Roman" w:hAnsi="Times New Roman"/>
          <w:sz w:val="24"/>
          <w:szCs w:val="24"/>
        </w:rPr>
        <w:t xml:space="preserve">Projekt je zpracován za předpokladu, že následnými pracemi dle této dokumentace bude pověřena odborná firma, která má dostatečné znalosti, zkušenosti a předpoklady (odborné i technické) k realizaci díla daného rozsahu a profesí. Projektová dokumentace předepisuje technické parametry zařízení </w:t>
      </w:r>
      <w:r>
        <w:rPr>
          <w:rFonts w:eastAsia="Times New Roman" w:cs="Times New Roman" w:ascii="Times New Roman" w:hAnsi="Times New Roman"/>
          <w:color w:val="auto"/>
          <w:sz w:val="24"/>
          <w:szCs w:val="24"/>
          <w:lang w:val="cs-CZ" w:eastAsia="zh-CN" w:bidi="ar-SA"/>
        </w:rPr>
        <w:t>měření a regulace</w:t>
      </w:r>
      <w:r>
        <w:rPr>
          <w:rFonts w:cs="Times New Roman" w:ascii="Times New Roman" w:hAnsi="Times New Roman"/>
          <w:sz w:val="24"/>
          <w:szCs w:val="24"/>
        </w:rPr>
        <w:t xml:space="preserve"> a také určuje použitá zařízení jako předpokládané standardy. Pokud zhotovitel bude provádět změny parametrů zařízení, nebo záměny výrobků v rozporu s touto dokumentací, tak je vždy nutné si vyžádat souhlas zadavatele (investora) a podrobně ho seznámit se zamýšlenými změnami a úpravami. O každé takové změně je také nutné provést prokazatelný zápis například do stavebního deníku a zajistit opravu příslušné dokumentace. V případě změny, nebo úpravy projektu nemůže v žádném případě projektant nést odpovědnost za změny, které písemně neodsouhlasil. Povinností zhotovitele je se důkladně seznámit s projektovou dokumentací. V případě jakýchkoli nejasností, nebo rozporů v dokumentaci je povinností zhotovitele vznést dotaz, nebo připomínku na zadavatele (investora) a tyto nejasnosti upřesnit před zahájením montážních prací. Pokud tak zhotovitel neučiní, tak se předpokládá, že je s dokumentací řádně seznámen a následné montážní a dodavatelské práce bude provádět dle příslušné odsouhlasené prováděcí dokumentace. Předpokládá se, že již v rámci výběrového řízení nabízející zahrne vše potřebné pro vybudování kompletního a plně funkčního díla.</w:t>
      </w:r>
    </w:p>
    <w:sectPr>
      <w:headerReference w:type="default" r:id="rId2"/>
      <w:footerReference w:type="default" r:id="rId3"/>
      <w:type w:val="nextPage"/>
      <w:pgSz w:w="11906" w:h="16838"/>
      <w:pgMar w:left="1418" w:right="851" w:header="455" w:top="1591" w:footer="459" w:bottom="1168" w:gutter="0"/>
      <w:pgNumType w:start="1"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Arial (WE)">
    <w:charset w:val="ee"/>
    <w:family w:val="roman"/>
    <w:pitch w:val="variable"/>
  </w:font>
  <w:font w:name="Tahoma">
    <w:charset w:val="ee"/>
    <w:family w:val="roman"/>
    <w:pitch w:val="variable"/>
  </w:font>
  <w:font w:name="Cambria">
    <w:charset w:val="ee"/>
    <w:family w:val="roman"/>
    <w:pitch w:val="variable"/>
  </w:font>
  <w:font w:name="Times New Roman">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Liberation Sans">
    <w:altName w:val="Arial"/>
    <w:charset w:val="ee"/>
    <w:family w:val="roman"/>
    <w:pitch w:val="variable"/>
  </w:font>
  <w:font w:name="Arial Unicode MS">
    <w:altName w:val="Arial"/>
    <w:charset w:val="ee"/>
    <w:family w:val="roman"/>
    <w:pitch w:val="variable"/>
  </w:font>
  <w:font w:name="Arial">
    <w:charset w:val="ee"/>
    <w:family w:val="swiss"/>
    <w:pitch w:val="variable"/>
  </w:font>
  <w:font w:name="Courier New">
    <w:charset w:val="ee"/>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9356" w:type="dxa"/>
      <w:jc w:val="left"/>
      <w:tblInd w:w="-7" w:type="dxa"/>
      <w:tblLayout w:type="fixed"/>
      <w:tblCellMar>
        <w:top w:w="0" w:type="dxa"/>
        <w:left w:w="70" w:type="dxa"/>
        <w:bottom w:w="0" w:type="dxa"/>
        <w:right w:w="70" w:type="dxa"/>
      </w:tblCellMar>
    </w:tblPr>
    <w:tblGrid>
      <w:gridCol w:w="1334"/>
      <w:gridCol w:w="1862"/>
      <w:gridCol w:w="1623"/>
      <w:gridCol w:w="1335"/>
      <w:gridCol w:w="1865"/>
      <w:gridCol w:w="1337"/>
    </w:tblGrid>
    <w:tr>
      <w:trPr>
        <w:trHeight w:val="284" w:hRule="exact"/>
      </w:trPr>
      <w:tc>
        <w:tcPr>
          <w:tcW w:w="1334" w:type="dxa"/>
          <w:tcBorders>
            <w:top w:val="single" w:sz="6" w:space="0" w:color="000000"/>
            <w:left w:val="single" w:sz="6" w:space="0" w:color="000000"/>
            <w:bottom w:val="single" w:sz="6" w:space="0" w:color="000000"/>
            <w:right w:val="single" w:sz="6" w:space="0" w:color="000000"/>
          </w:tcBorders>
          <w:vAlign w:val="bottom"/>
        </w:tcPr>
        <w:p>
          <w:pPr>
            <w:pStyle w:val="Normal"/>
            <w:widowControl w:val="false"/>
            <w:spacing w:before="60" w:after="60"/>
            <w:rPr>
              <w:sz w:val="16"/>
              <w:szCs w:val="16"/>
            </w:rPr>
          </w:pPr>
          <w:r>
            <w:rPr>
              <w:sz w:val="16"/>
              <w:szCs w:val="16"/>
            </w:rPr>
            <w:t>Vypracoval</w:t>
          </w:r>
        </w:p>
      </w:tc>
      <w:tc>
        <w:tcPr>
          <w:tcW w:w="1862" w:type="dxa"/>
          <w:tcBorders>
            <w:top w:val="single" w:sz="6" w:space="0" w:color="000000"/>
            <w:left w:val="single" w:sz="6" w:space="0" w:color="000000"/>
            <w:bottom w:val="single" w:sz="6" w:space="0" w:color="000000"/>
            <w:right w:val="single" w:sz="6" w:space="0" w:color="000000"/>
          </w:tcBorders>
          <w:vAlign w:val="bottom"/>
        </w:tcPr>
        <w:p>
          <w:pPr>
            <w:pStyle w:val="Normal"/>
            <w:widowControl w:val="false"/>
            <w:spacing w:before="60" w:after="60"/>
            <w:rPr>
              <w:rFonts w:eastAsia="Times New Roman"/>
              <w:sz w:val="16"/>
              <w:szCs w:val="16"/>
            </w:rPr>
          </w:pPr>
          <w:r>
            <w:rPr>
              <w:rFonts w:eastAsia="Times New Roman"/>
              <w:sz w:val="16"/>
              <w:szCs w:val="16"/>
            </w:rPr>
            <w:t>Jan Šimůnek</w:t>
          </w:r>
        </w:p>
      </w:tc>
      <w:tc>
        <w:tcPr>
          <w:tcW w:w="1623" w:type="dxa"/>
          <w:tcBorders>
            <w:top w:val="single" w:sz="6" w:space="0" w:color="000000"/>
            <w:left w:val="single" w:sz="6" w:space="0" w:color="000000"/>
            <w:bottom w:val="single" w:sz="6" w:space="0" w:color="000000"/>
            <w:right w:val="single" w:sz="6" w:space="0" w:color="000000"/>
          </w:tcBorders>
          <w:vAlign w:val="bottom"/>
        </w:tcPr>
        <w:p>
          <w:pPr>
            <w:pStyle w:val="Normal"/>
            <w:widowControl w:val="false"/>
            <w:spacing w:before="60" w:after="60"/>
            <w:rPr>
              <w:sz w:val="16"/>
              <w:szCs w:val="16"/>
            </w:rPr>
          </w:pPr>
          <w:r>
            <w:rPr>
              <w:sz w:val="16"/>
              <w:szCs w:val="16"/>
            </w:rPr>
          </w:r>
        </w:p>
      </w:tc>
      <w:tc>
        <w:tcPr>
          <w:tcW w:w="1335" w:type="dxa"/>
          <w:tcBorders>
            <w:top w:val="single" w:sz="6" w:space="0" w:color="000000"/>
            <w:left w:val="single" w:sz="6" w:space="0" w:color="000000"/>
            <w:bottom w:val="single" w:sz="6" w:space="0" w:color="000000"/>
            <w:right w:val="single" w:sz="6" w:space="0" w:color="000000"/>
          </w:tcBorders>
          <w:vAlign w:val="bottom"/>
        </w:tcPr>
        <w:p>
          <w:pPr>
            <w:pStyle w:val="Normal"/>
            <w:widowControl w:val="false"/>
            <w:spacing w:before="60" w:after="60"/>
            <w:rPr>
              <w:sz w:val="16"/>
              <w:szCs w:val="16"/>
            </w:rPr>
          </w:pPr>
          <w:r>
            <w:rPr>
              <w:sz w:val="16"/>
              <w:szCs w:val="16"/>
            </w:rPr>
            <w:t>HIP</w:t>
          </w:r>
        </w:p>
      </w:tc>
      <w:tc>
        <w:tcPr>
          <w:tcW w:w="1865" w:type="dxa"/>
          <w:tcBorders>
            <w:top w:val="single" w:sz="6" w:space="0" w:color="000000"/>
            <w:left w:val="single" w:sz="6" w:space="0" w:color="000000"/>
            <w:bottom w:val="single" w:sz="6" w:space="0" w:color="000000"/>
            <w:right w:val="single" w:sz="6" w:space="0" w:color="000000"/>
          </w:tcBorders>
          <w:vAlign w:val="bottom"/>
        </w:tcPr>
        <w:p>
          <w:pPr>
            <w:pStyle w:val="Normal"/>
            <w:widowControl w:val="false"/>
            <w:spacing w:before="60" w:after="60"/>
            <w:rPr>
              <w:sz w:val="16"/>
              <w:szCs w:val="16"/>
            </w:rPr>
          </w:pPr>
          <w:r>
            <w:rPr>
              <w:sz w:val="16"/>
              <w:szCs w:val="16"/>
            </w:rPr>
            <w:t>Josef Chalupa</w:t>
          </w:r>
        </w:p>
      </w:tc>
      <w:tc>
        <w:tcPr>
          <w:tcW w:w="1337" w:type="dxa"/>
          <w:tcBorders>
            <w:top w:val="single" w:sz="6" w:space="0" w:color="000000"/>
            <w:left w:val="single" w:sz="6" w:space="0" w:color="000000"/>
            <w:bottom w:val="single" w:sz="6" w:space="0" w:color="000000"/>
            <w:right w:val="single" w:sz="6" w:space="0" w:color="000000"/>
          </w:tcBorders>
          <w:vAlign w:val="bottom"/>
        </w:tcPr>
        <w:p>
          <w:pPr>
            <w:pStyle w:val="Normal"/>
            <w:widowControl w:val="false"/>
            <w:spacing w:before="60" w:after="60"/>
            <w:rPr>
              <w:sz w:val="16"/>
              <w:szCs w:val="16"/>
            </w:rPr>
          </w:pPr>
          <w:r>
            <w:rPr>
              <w:sz w:val="16"/>
              <w:szCs w:val="16"/>
            </w:rPr>
          </w:r>
        </w:p>
      </w:tc>
    </w:tr>
    <w:tr>
      <w:trPr>
        <w:trHeight w:val="284" w:hRule="exact"/>
      </w:trPr>
      <w:tc>
        <w:tcPr>
          <w:tcW w:w="1334" w:type="dxa"/>
          <w:tcBorders>
            <w:top w:val="single" w:sz="6" w:space="0" w:color="000000"/>
            <w:left w:val="single" w:sz="6" w:space="0" w:color="000000"/>
            <w:bottom w:val="single" w:sz="18" w:space="0" w:color="000000"/>
            <w:right w:val="single" w:sz="6" w:space="0" w:color="000000"/>
          </w:tcBorders>
          <w:vAlign w:val="bottom"/>
        </w:tcPr>
        <w:p>
          <w:pPr>
            <w:pStyle w:val="Normal"/>
            <w:widowControl w:val="false"/>
            <w:spacing w:before="60" w:after="60"/>
            <w:rPr>
              <w:sz w:val="16"/>
              <w:szCs w:val="16"/>
            </w:rPr>
          </w:pPr>
          <w:r>
            <w:rPr>
              <w:sz w:val="16"/>
              <w:szCs w:val="16"/>
            </w:rPr>
            <w:t>Kontroloval</w:t>
          </w:r>
        </w:p>
      </w:tc>
      <w:tc>
        <w:tcPr>
          <w:tcW w:w="1862" w:type="dxa"/>
          <w:tcBorders>
            <w:top w:val="single" w:sz="6" w:space="0" w:color="000000"/>
            <w:left w:val="single" w:sz="6" w:space="0" w:color="000000"/>
            <w:bottom w:val="single" w:sz="18" w:space="0" w:color="000000"/>
            <w:right w:val="single" w:sz="6" w:space="0" w:color="000000"/>
          </w:tcBorders>
          <w:vAlign w:val="bottom"/>
        </w:tcPr>
        <w:p>
          <w:pPr>
            <w:pStyle w:val="Normal"/>
            <w:widowControl w:val="false"/>
            <w:spacing w:before="60" w:after="60"/>
            <w:rPr>
              <w:rFonts w:eastAsia="Times New Roman"/>
              <w:sz w:val="16"/>
              <w:szCs w:val="16"/>
            </w:rPr>
          </w:pPr>
          <w:r>
            <w:rPr>
              <w:rFonts w:eastAsia="Times New Roman"/>
              <w:sz w:val="16"/>
              <w:szCs w:val="16"/>
            </w:rPr>
            <w:t>Ing. Josef Ptáček</w:t>
          </w:r>
        </w:p>
      </w:tc>
      <w:tc>
        <w:tcPr>
          <w:tcW w:w="1623" w:type="dxa"/>
          <w:tcBorders>
            <w:top w:val="single" w:sz="6" w:space="0" w:color="000000"/>
            <w:left w:val="single" w:sz="6" w:space="0" w:color="000000"/>
            <w:bottom w:val="single" w:sz="18" w:space="0" w:color="000000"/>
            <w:right w:val="single" w:sz="6" w:space="0" w:color="000000"/>
          </w:tcBorders>
          <w:vAlign w:val="bottom"/>
        </w:tcPr>
        <w:p>
          <w:pPr>
            <w:pStyle w:val="Normal"/>
            <w:widowControl w:val="false"/>
            <w:spacing w:before="60" w:after="60"/>
            <w:rPr>
              <w:sz w:val="16"/>
              <w:szCs w:val="16"/>
            </w:rPr>
          </w:pPr>
          <w:r>
            <w:rPr>
              <w:sz w:val="16"/>
              <w:szCs w:val="16"/>
            </w:rPr>
          </w:r>
        </w:p>
      </w:tc>
      <w:tc>
        <w:tcPr>
          <w:tcW w:w="1335" w:type="dxa"/>
          <w:tcBorders>
            <w:top w:val="single" w:sz="6" w:space="0" w:color="000000"/>
            <w:left w:val="single" w:sz="6" w:space="0" w:color="000000"/>
            <w:bottom w:val="single" w:sz="18" w:space="0" w:color="000000"/>
            <w:right w:val="single" w:sz="6" w:space="0" w:color="000000"/>
          </w:tcBorders>
          <w:vAlign w:val="bottom"/>
        </w:tcPr>
        <w:p>
          <w:pPr>
            <w:pStyle w:val="Normal"/>
            <w:widowControl w:val="false"/>
            <w:spacing w:before="60" w:after="60"/>
            <w:rPr>
              <w:sz w:val="16"/>
              <w:szCs w:val="16"/>
            </w:rPr>
          </w:pPr>
          <w:r>
            <w:rPr>
              <w:sz w:val="16"/>
              <w:szCs w:val="16"/>
            </w:rPr>
            <w:t>Zodp. projektant</w:t>
          </w:r>
        </w:p>
      </w:tc>
      <w:tc>
        <w:tcPr>
          <w:tcW w:w="1865" w:type="dxa"/>
          <w:tcBorders>
            <w:top w:val="single" w:sz="6" w:space="0" w:color="000000"/>
            <w:left w:val="single" w:sz="6" w:space="0" w:color="000000"/>
            <w:bottom w:val="single" w:sz="18" w:space="0" w:color="000000"/>
            <w:right w:val="single" w:sz="6" w:space="0" w:color="000000"/>
          </w:tcBorders>
          <w:vAlign w:val="bottom"/>
        </w:tcPr>
        <w:p>
          <w:pPr>
            <w:pStyle w:val="Normal"/>
            <w:widowControl w:val="false"/>
            <w:spacing w:before="60" w:after="60"/>
            <w:rPr>
              <w:rFonts w:eastAsia="Times New Roman"/>
              <w:sz w:val="16"/>
              <w:szCs w:val="16"/>
            </w:rPr>
          </w:pPr>
          <w:r>
            <w:rPr>
              <w:rFonts w:eastAsia="Times New Roman"/>
              <w:sz w:val="16"/>
              <w:szCs w:val="16"/>
            </w:rPr>
            <w:t>Ing. Lenkvík</w:t>
          </w:r>
        </w:p>
      </w:tc>
      <w:tc>
        <w:tcPr>
          <w:tcW w:w="1337" w:type="dxa"/>
          <w:tcBorders>
            <w:top w:val="single" w:sz="4" w:space="0" w:color="000000"/>
            <w:left w:val="single" w:sz="4" w:space="0" w:color="000000"/>
            <w:bottom w:val="single" w:sz="18" w:space="0" w:color="000000"/>
            <w:right w:val="single" w:sz="4" w:space="0" w:color="000000"/>
          </w:tcBorders>
          <w:vAlign w:val="bottom"/>
        </w:tcPr>
        <w:p>
          <w:pPr>
            <w:pStyle w:val="Normal"/>
            <w:widowControl w:val="false"/>
            <w:spacing w:before="60" w:after="60"/>
            <w:rPr>
              <w:sz w:val="16"/>
              <w:szCs w:val="16"/>
            </w:rPr>
          </w:pPr>
          <w:r>
            <w:rPr>
              <w:sz w:val="16"/>
              <w:szCs w:val="16"/>
            </w:rPr>
          </w:r>
        </w:p>
      </w:tc>
    </w:tr>
    <w:tr>
      <w:trPr>
        <w:trHeight w:val="402" w:hRule="exact"/>
      </w:trPr>
      <w:tc>
        <w:tcPr>
          <w:tcW w:w="1334" w:type="dxa"/>
          <w:tcBorders>
            <w:top w:val="single" w:sz="18" w:space="0" w:color="000000"/>
            <w:left w:val="single" w:sz="18" w:space="0" w:color="000000"/>
            <w:bottom w:val="single" w:sz="18" w:space="0" w:color="000000"/>
            <w:right w:val="single" w:sz="18" w:space="0" w:color="000000"/>
          </w:tcBorders>
          <w:vAlign w:val="bottom"/>
        </w:tcPr>
        <w:p>
          <w:pPr>
            <w:pStyle w:val="Normal"/>
            <w:widowControl w:val="false"/>
            <w:spacing w:before="60" w:after="60"/>
            <w:rPr>
              <w:sz w:val="16"/>
              <w:szCs w:val="16"/>
            </w:rPr>
          </w:pPr>
          <w:r>
            <w:rPr>
              <w:sz w:val="16"/>
              <w:szCs w:val="16"/>
            </w:rPr>
            <w:t>Arch. číslo</w:t>
          </w:r>
        </w:p>
      </w:tc>
      <w:tc>
        <w:tcPr>
          <w:tcW w:w="1862" w:type="dxa"/>
          <w:tcBorders>
            <w:top w:val="single" w:sz="18" w:space="0" w:color="000000"/>
            <w:left w:val="single" w:sz="18" w:space="0" w:color="000000"/>
            <w:bottom w:val="single" w:sz="18" w:space="0" w:color="000000"/>
            <w:right w:val="single" w:sz="18" w:space="0" w:color="000000"/>
          </w:tcBorders>
          <w:vAlign w:val="bottom"/>
        </w:tcPr>
        <w:p>
          <w:pPr>
            <w:pStyle w:val="Normal"/>
            <w:widowControl w:val="false"/>
            <w:spacing w:before="60" w:after="60"/>
            <w:jc w:val="center"/>
            <w:rPr>
              <w:b/>
              <w:b/>
              <w:sz w:val="18"/>
              <w:szCs w:val="16"/>
            </w:rPr>
          </w:pPr>
          <w:r>
            <w:rPr>
              <w:b/>
              <w:sz w:val="18"/>
              <w:szCs w:val="16"/>
            </w:rPr>
            <w:t>01-1.4.</w:t>
          </w:r>
          <w:r>
            <w:rPr>
              <w:b/>
              <w:strike w:val="false"/>
              <w:dstrike w:val="false"/>
              <w:sz w:val="18"/>
              <w:szCs w:val="16"/>
            </w:rPr>
            <w:t>6 MaR -01</w:t>
          </w:r>
        </w:p>
      </w:tc>
      <w:tc>
        <w:tcPr>
          <w:tcW w:w="1623" w:type="dxa"/>
          <w:tcBorders>
            <w:top w:val="single" w:sz="18" w:space="0" w:color="000000"/>
            <w:left w:val="single" w:sz="18" w:space="0" w:color="000000"/>
            <w:bottom w:val="single" w:sz="18" w:space="0" w:color="000000"/>
            <w:right w:val="single" w:sz="6" w:space="0" w:color="000000"/>
          </w:tcBorders>
          <w:vAlign w:val="bottom"/>
        </w:tcPr>
        <w:p>
          <w:pPr>
            <w:pStyle w:val="Normal"/>
            <w:widowControl w:val="false"/>
            <w:spacing w:before="60" w:after="60"/>
            <w:rPr>
              <w:sz w:val="16"/>
              <w:szCs w:val="16"/>
            </w:rPr>
          </w:pPr>
          <w:r>
            <w:rPr>
              <w:sz w:val="16"/>
              <w:szCs w:val="16"/>
            </w:rPr>
            <w:t>Revize</w:t>
          </w:r>
        </w:p>
      </w:tc>
      <w:tc>
        <w:tcPr>
          <w:tcW w:w="1335" w:type="dxa"/>
          <w:tcBorders>
            <w:top w:val="single" w:sz="18" w:space="0" w:color="000000"/>
            <w:left w:val="single" w:sz="6" w:space="0" w:color="000000"/>
            <w:bottom w:val="single" w:sz="18" w:space="0" w:color="000000"/>
            <w:right w:val="single" w:sz="6" w:space="0" w:color="000000"/>
          </w:tcBorders>
          <w:vAlign w:val="bottom"/>
        </w:tcPr>
        <w:p>
          <w:pPr>
            <w:pStyle w:val="Normal"/>
            <w:widowControl w:val="false"/>
            <w:spacing w:before="60" w:after="60"/>
            <w:rPr>
              <w:sz w:val="16"/>
              <w:szCs w:val="16"/>
            </w:rPr>
          </w:pPr>
          <w:r>
            <w:rPr>
              <w:sz w:val="16"/>
              <w:szCs w:val="16"/>
            </w:rPr>
            <w:t>00</w:t>
          </w:r>
        </w:p>
      </w:tc>
      <w:tc>
        <w:tcPr>
          <w:tcW w:w="1865" w:type="dxa"/>
          <w:tcBorders>
            <w:top w:val="single" w:sz="18" w:space="0" w:color="000000"/>
            <w:left w:val="single" w:sz="6" w:space="0" w:color="000000"/>
            <w:bottom w:val="single" w:sz="18" w:space="0" w:color="000000"/>
            <w:right w:val="single" w:sz="18" w:space="0" w:color="000000"/>
          </w:tcBorders>
          <w:vAlign w:val="bottom"/>
        </w:tcPr>
        <w:p>
          <w:pPr>
            <w:pStyle w:val="Normal"/>
            <w:widowControl w:val="false"/>
            <w:spacing w:before="60" w:after="60"/>
            <w:rPr>
              <w:sz w:val="16"/>
              <w:szCs w:val="16"/>
            </w:rPr>
          </w:pPr>
          <w:r>
            <w:rPr>
              <w:sz w:val="16"/>
              <w:szCs w:val="16"/>
            </w:rPr>
            <w:t>Strana /počet stran</w:t>
          </w:r>
        </w:p>
      </w:tc>
      <w:tc>
        <w:tcPr>
          <w:tcW w:w="1337" w:type="dxa"/>
          <w:tcBorders>
            <w:top w:val="single" w:sz="18" w:space="0" w:color="000000"/>
            <w:left w:val="single" w:sz="18" w:space="0" w:color="000000"/>
            <w:bottom w:val="single" w:sz="18" w:space="0" w:color="000000"/>
            <w:right w:val="single" w:sz="18" w:space="0" w:color="000000"/>
          </w:tcBorders>
          <w:vAlign w:val="center"/>
        </w:tcPr>
        <w:p>
          <w:pPr>
            <w:pStyle w:val="Normal"/>
            <w:widowControl w:val="false"/>
            <w:spacing w:before="60" w:after="60"/>
            <w:rPr>
              <w:sz w:val="20"/>
              <w:szCs w:val="20"/>
            </w:rPr>
          </w:pPr>
          <w:r>
            <w:rPr>
              <w:b/>
              <w:bCs/>
              <w:sz w:val="20"/>
              <w:szCs w:val="20"/>
            </w:rPr>
            <w:fldChar w:fldCharType="begin"/>
          </w:r>
          <w:r>
            <w:rPr>
              <w:sz w:val="20"/>
              <w:b/>
              <w:szCs w:val="20"/>
              <w:bCs/>
            </w:rPr>
            <w:instrText> PAGE </w:instrText>
          </w:r>
          <w:r>
            <w:rPr>
              <w:sz w:val="20"/>
              <w:b/>
              <w:szCs w:val="20"/>
              <w:bCs/>
            </w:rPr>
            <w:fldChar w:fldCharType="separate"/>
          </w:r>
          <w:r>
            <w:rPr>
              <w:sz w:val="20"/>
              <w:b/>
              <w:szCs w:val="20"/>
              <w:bCs/>
            </w:rPr>
            <w:t>13</w:t>
          </w:r>
          <w:r>
            <w:rPr>
              <w:sz w:val="20"/>
              <w:b/>
              <w:szCs w:val="20"/>
              <w:bCs/>
            </w:rPr>
            <w:fldChar w:fldCharType="end"/>
          </w:r>
          <w:r>
            <w:rPr>
              <w:b/>
              <w:bCs/>
              <w:sz w:val="20"/>
              <w:szCs w:val="20"/>
            </w:rPr>
            <w:t>/13</w:t>
          </w:r>
        </w:p>
      </w:tc>
    </w:tr>
  </w:tbl>
  <w:p>
    <w:pPr>
      <w:pStyle w:val="Zpat"/>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Zhlav"/>
      <w:tabs>
        <w:tab w:val="left" w:pos="1134" w:leader="none"/>
        <w:tab w:val="center" w:pos="4536" w:leader="none"/>
        <w:tab w:val="right" w:pos="9072" w:leader="none"/>
      </w:tabs>
      <w:rPr/>
    </w:pPr>
    <w:r>
      <w:drawing>
        <wp:anchor behindDoc="0" distT="0" distB="0" distL="114300" distR="114300" simplePos="0" locked="0" layoutInCell="0" allowOverlap="1" relativeHeight="14">
          <wp:simplePos x="0" y="0"/>
          <wp:positionH relativeFrom="column">
            <wp:posOffset>4445</wp:posOffset>
          </wp:positionH>
          <wp:positionV relativeFrom="paragraph">
            <wp:posOffset>-2540</wp:posOffset>
          </wp:positionV>
          <wp:extent cx="513080" cy="495300"/>
          <wp:effectExtent l="0" t="0" r="0" b="0"/>
          <wp:wrapTight wrapText="bothSides">
            <wp:wrapPolygon edited="0">
              <wp:start x="-38" y="0"/>
              <wp:lineTo x="-38" y="20732"/>
              <wp:lineTo x="20824" y="20732"/>
              <wp:lineTo x="20824" y="0"/>
              <wp:lineTo x="-38" y="0"/>
            </wp:wrapPolygon>
          </wp:wrapTight>
          <wp:docPr id="1" name="Obrázek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4" descr=""/>
                  <pic:cNvPicPr>
                    <a:picLocks noChangeAspect="1" noChangeArrowheads="1"/>
                  </pic:cNvPicPr>
                </pic:nvPicPr>
                <pic:blipFill>
                  <a:blip r:embed="rId1"/>
                  <a:stretch>
                    <a:fillRect/>
                  </a:stretch>
                </pic:blipFill>
                <pic:spPr bwMode="auto">
                  <a:xfrm>
                    <a:off x="0" y="0"/>
                    <a:ext cx="513080" cy="495300"/>
                  </a:xfrm>
                  <a:prstGeom prst="rect">
                    <a:avLst/>
                  </a:prstGeom>
                </pic:spPr>
              </pic:pic>
            </a:graphicData>
          </a:graphic>
        </wp:anchor>
      </w:drawing>
    </w:r>
    <w:r>
      <w:rPr/>
      <w:t xml:space="preserve"> </w:t>
    </w:r>
    <w:r>
      <w:rPr/>
      <w:t xml:space="preserve">   </w:t>
    </w:r>
    <w:r>
      <w:rPr/>
      <w:tab/>
    </w:r>
    <w:r>
      <w:rPr>
        <w:b/>
        <w:sz w:val="24"/>
      </w:rPr>
      <w:t>WARMNIS spol. s r.o</w:t>
    </w:r>
    <w:r>
      <w:rPr>
        <w:sz w:val="24"/>
      </w:rPr>
      <w:t>.</w:t>
    </w:r>
  </w:p>
  <w:p>
    <w:pPr>
      <w:pStyle w:val="Zhlav"/>
      <w:tabs>
        <w:tab w:val="clear" w:pos="4536"/>
        <w:tab w:val="clear" w:pos="9072"/>
        <w:tab w:val="left" w:pos="1134" w:leader="none"/>
      </w:tabs>
      <w:rPr/>
    </w:pPr>
    <w:r>
      <w:rPr/>
      <w:t xml:space="preserve">    </w:t>
    </w:r>
    <w:r>
      <w:rPr/>
      <w:tab/>
      <w:t>Ovocná 157 / 2</w:t>
    </w:r>
  </w:p>
  <w:p>
    <w:pPr>
      <w:pStyle w:val="Zhlav"/>
      <w:tabs>
        <w:tab w:val="clear" w:pos="4536"/>
        <w:tab w:val="clear" w:pos="9072"/>
        <w:tab w:val="left" w:pos="1134" w:leader="none"/>
      </w:tabs>
      <w:rPr/>
    </w:pPr>
    <w:r>
      <w:rPr/>
      <w:t xml:space="preserve">   </w:t>
    </w:r>
    <w:r>
      <w:rPr/>
      <w:tab/>
      <w:t>Liberec 6, 460 06</w:t>
    </w:r>
  </w:p>
  <w:p>
    <w:pPr>
      <w:pStyle w:val="Zhlav"/>
      <w:pBdr>
        <w:bottom w:val="single" w:sz="4" w:space="1" w:color="000000"/>
      </w:pBdr>
      <w:rPr>
        <w:sz w:val="12"/>
        <w:szCs w:val="12"/>
      </w:rPr>
    </w:pPr>
    <w:r>
      <w:rPr>
        <w:sz w:val="12"/>
        <w:szCs w:val="12"/>
      </w:rPr>
    </w:r>
  </w:p>
  <w:p>
    <w:pPr>
      <w:pStyle w:val="Zhlav"/>
      <w:rPr>
        <w:szCs w:val="22"/>
      </w:rPr>
    </w:pPr>
    <w:r>
      <w:rPr>
        <w:szCs w:val="2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Nadpis1"/>
      <w:numFmt w:val="decimal"/>
      <w:lvlText w:val="%1"/>
      <w:lvlJc w:val="left"/>
      <w:pPr>
        <w:tabs>
          <w:tab w:val="num" w:pos="1276"/>
        </w:tabs>
        <w:ind w:left="992" w:hanging="850"/>
      </w:pPr>
    </w:lvl>
    <w:lvl w:ilvl="1">
      <w:start w:val="1"/>
      <w:pStyle w:val="Nadpis2"/>
      <w:numFmt w:val="decimal"/>
      <w:lvlText w:val="%1.%2"/>
      <w:lvlJc w:val="left"/>
      <w:pPr>
        <w:tabs>
          <w:tab w:val="num" w:pos="1418"/>
        </w:tabs>
        <w:ind w:left="992" w:hanging="567"/>
      </w:pPr>
      <w:rPr>
        <w:smallCaps w:val="false"/>
        <w:caps w:val="false"/>
        <w:outline w:val="false"/>
        <w:dstrike w:val="false"/>
        <w:strike w:val="false"/>
        <w:vertAlign w:val="baseline"/>
        <w:position w:val="0"/>
        <w:sz w:val="24"/>
        <w:sz w:val="24"/>
        <w:spacing w:val="0"/>
        <w:i w:val="false"/>
        <w:shadow w:val="false"/>
        <w:u w:val="none"/>
        <w:b/>
        <w:kern w:val="0"/>
        <w:effect w:val="none"/>
        <w:iCs w:val="false"/>
        <w:bCs w:val="false"/>
        <w:em w:val="none"/>
        <w:emboss w:val="false"/>
        <w:imprint w:val="false"/>
        <w:vanish w:val="false"/>
      </w:rPr>
    </w:lvl>
    <w:lvl w:ilvl="2">
      <w:start w:val="1"/>
      <w:pStyle w:val="Nadpis3"/>
      <w:numFmt w:val="decimal"/>
      <w:lvlText w:val="%1.%2.%3"/>
      <w:lvlJc w:val="left"/>
      <w:pPr>
        <w:tabs>
          <w:tab w:val="num" w:pos="1343"/>
        </w:tabs>
        <w:ind w:left="1343" w:hanging="1134"/>
      </w:pPr>
    </w:lvl>
    <w:lvl w:ilvl="3">
      <w:start w:val="1"/>
      <w:pStyle w:val="Nadpis4"/>
      <w:numFmt w:val="decimal"/>
      <w:lvlText w:val="%1.%2.%3.%4"/>
      <w:lvlJc w:val="left"/>
      <w:pPr>
        <w:tabs>
          <w:tab w:val="num" w:pos="1343"/>
        </w:tabs>
        <w:ind w:left="1343" w:hanging="1134"/>
      </w:pPr>
    </w:lvl>
    <w:lvl w:ilvl="4">
      <w:start w:val="1"/>
      <w:pStyle w:val="Nadpis5"/>
      <w:numFmt w:val="decimal"/>
      <w:lvlText w:val="%1.%2.%3.%4.%5"/>
      <w:lvlJc w:val="left"/>
      <w:pPr>
        <w:tabs>
          <w:tab w:val="num" w:pos="209"/>
        </w:tabs>
        <w:ind w:left="209" w:hanging="0"/>
      </w:pPr>
    </w:lvl>
    <w:lvl w:ilvl="5">
      <w:start w:val="1"/>
      <w:pStyle w:val="Nadpis6"/>
      <w:numFmt w:val="decimal"/>
      <w:lvlText w:val="%1.%2.%3.%4.%5.%6"/>
      <w:lvlJc w:val="left"/>
      <w:pPr>
        <w:tabs>
          <w:tab w:val="num" w:pos="209"/>
        </w:tabs>
        <w:ind w:left="209" w:hanging="0"/>
      </w:pPr>
    </w:lvl>
    <w:lvl w:ilvl="6">
      <w:start w:val="1"/>
      <w:pStyle w:val="Nadpis7"/>
      <w:numFmt w:val="decimal"/>
      <w:lvlText w:val="%1.%2.%3.%4.%5.%6.%7"/>
      <w:lvlJc w:val="left"/>
      <w:pPr>
        <w:tabs>
          <w:tab w:val="num" w:pos="1343"/>
        </w:tabs>
        <w:ind w:left="1343" w:hanging="0"/>
      </w:pPr>
    </w:lvl>
    <w:lvl w:ilvl="7">
      <w:start w:val="1"/>
      <w:pStyle w:val="Nadpis8"/>
      <w:numFmt w:val="decimal"/>
      <w:lvlText w:val="%1.%2.%3.%4.%5.%6.%7.%8"/>
      <w:lvlJc w:val="left"/>
      <w:pPr>
        <w:tabs>
          <w:tab w:val="num" w:pos="1343"/>
        </w:tabs>
        <w:ind w:left="1343" w:hanging="0"/>
      </w:pPr>
    </w:lvl>
    <w:lvl w:ilvl="8">
      <w:start w:val="1"/>
      <w:pStyle w:val="Nadpis9"/>
      <w:numFmt w:val="decimal"/>
      <w:lvlText w:val="%1.%2.%3.%4.%5.%6.%7.%8.%9"/>
      <w:lvlJc w:val="left"/>
      <w:pPr>
        <w:tabs>
          <w:tab w:val="num" w:pos="1343"/>
        </w:tabs>
        <w:ind w:left="1343" w:hanging="0"/>
      </w:pPr>
    </w:lvl>
  </w:abstractNum>
  <w:abstractNum w:abstractNumId="2">
    <w:lvl w:ilvl="0">
      <w:start w:val="1"/>
      <w:numFmt w:val="decimal"/>
      <w:lvlText w:val="%1"/>
      <w:lvlJc w:val="left"/>
      <w:pPr>
        <w:tabs>
          <w:tab w:val="num" w:pos="612"/>
        </w:tabs>
        <w:ind w:left="612" w:hanging="432"/>
      </w:pPr>
    </w:lvl>
    <w:lvl w:ilvl="1">
      <w:start w:val="1"/>
      <w:numFmt w:val="decimal"/>
      <w:lvlText w:val="%1.%2"/>
      <w:lvlJc w:val="left"/>
      <w:pPr>
        <w:tabs>
          <w:tab w:val="num" w:pos="756"/>
        </w:tabs>
        <w:ind w:left="756" w:hanging="576"/>
      </w:pPr>
      <w:rPr>
        <w:smallCaps w:val="false"/>
        <w:caps w:val="false"/>
        <w:outline w:val="false"/>
        <w:dstrike w:val="false"/>
        <w:strike w:val="false"/>
        <w:vertAlign w:val="baseline"/>
        <w:position w:val="0"/>
        <w:sz w:val="20"/>
        <w:sz w:val="20"/>
        <w:spacing w:val="0"/>
        <w:i w:val="false"/>
        <w:shadow w:val="false"/>
        <w:u w:val="none"/>
        <w:b w:val="false"/>
        <w:kern w:val="0"/>
        <w:effect w:val="none"/>
        <w:iCs w:val="false"/>
        <w:bCs w:val="false"/>
        <w:em w:val="none"/>
        <w:emboss w:val="false"/>
        <w:imprint w:val="false"/>
        <w:vanish w:val="false"/>
      </w:rPr>
    </w:lvl>
    <w:lvl w:ilvl="2">
      <w:start w:val="1"/>
      <w:numFmt w:val="decimal"/>
      <w:lvlText w:val="%1.%2.%3"/>
      <w:lvlJc w:val="left"/>
      <w:pPr>
        <w:tabs>
          <w:tab w:val="num" w:pos="900"/>
        </w:tabs>
        <w:ind w:left="900" w:hanging="720"/>
      </w:pPr>
    </w:lvl>
    <w:lvl w:ilvl="3">
      <w:start w:val="1"/>
      <w:numFmt w:val="decimal"/>
      <w:lvlText w:val="%1.%2.%3.%4"/>
      <w:lvlJc w:val="left"/>
      <w:pPr>
        <w:tabs>
          <w:tab w:val="num" w:pos="1044"/>
        </w:tabs>
        <w:ind w:left="1044" w:hanging="864"/>
      </w:pPr>
    </w:lvl>
    <w:lvl w:ilvl="4">
      <w:start w:val="1"/>
      <w:numFmt w:val="decimal"/>
      <w:lvlText w:val="%1.%2.%3.%4.%5"/>
      <w:lvlJc w:val="left"/>
      <w:pPr>
        <w:tabs>
          <w:tab w:val="num" w:pos="1188"/>
        </w:tabs>
        <w:ind w:left="1188" w:hanging="1008"/>
      </w:pPr>
    </w:lvl>
    <w:lvl w:ilvl="5">
      <w:start w:val="1"/>
      <w:numFmt w:val="decimal"/>
      <w:lvlText w:val="%1.%2.%3.%4.%5.%6"/>
      <w:lvlJc w:val="left"/>
      <w:pPr>
        <w:tabs>
          <w:tab w:val="num" w:pos="1332"/>
        </w:tabs>
        <w:ind w:left="1332" w:hanging="1152"/>
      </w:pPr>
    </w:lvl>
    <w:lvl w:ilvl="6">
      <w:start w:val="1"/>
      <w:numFmt w:val="decimal"/>
      <w:lvlText w:val="%1.%2.%3.%4.%5.%6.%7"/>
      <w:lvlJc w:val="left"/>
      <w:pPr>
        <w:tabs>
          <w:tab w:val="num" w:pos="1476"/>
        </w:tabs>
        <w:ind w:left="1476" w:hanging="1296"/>
      </w:pPr>
    </w:lvl>
    <w:lvl w:ilvl="7">
      <w:start w:val="1"/>
      <w:numFmt w:val="decimal"/>
      <w:lvlText w:val="%1.%2.%3.%4.%5.%6.%7.%8"/>
      <w:lvlJc w:val="left"/>
      <w:pPr>
        <w:tabs>
          <w:tab w:val="num" w:pos="1620"/>
        </w:tabs>
        <w:ind w:left="1620" w:hanging="1440"/>
      </w:pPr>
    </w:lvl>
    <w:lvl w:ilvl="8">
      <w:start w:val="1"/>
      <w:numFmt w:val="decimal"/>
      <w:lvlText w:val="%1.%2.%3.%4.%5.%6.%7.%8.%9"/>
      <w:lvlJc w:val="left"/>
      <w:pPr>
        <w:tabs>
          <w:tab w:val="num" w:pos="1764"/>
        </w:tabs>
        <w:ind w:left="1764" w:hanging="1584"/>
      </w:p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1080"/>
        </w:tabs>
        <w:ind w:left="1080" w:hanging="360"/>
      </w:pPr>
      <w:rPr>
        <w:sz w:val="24"/>
        <w:szCs w:val="24"/>
        <w:iCs/>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6">
    <w:lvl w:ilvl="0">
      <w:start w:val="1"/>
      <w:numFmt w:val="decimal"/>
      <w:lvlText w:val="%1"/>
      <w:lvlJc w:val="left"/>
      <w:pPr>
        <w:tabs>
          <w:tab w:val="num" w:pos="1080"/>
        </w:tabs>
        <w:ind w:left="1080" w:hanging="360"/>
      </w:pPr>
      <w:rPr>
        <w:sz w:val="24"/>
        <w:iCs/>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360"/>
        </w:tabs>
        <w:ind w:left="360" w:hanging="360"/>
      </w:pPr>
      <w:rPr>
        <w:rFonts w:ascii="Liberation Serif" w:hAnsi="Liberation Serif" w:cs="Liberation Serif"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tabs>
          <w:tab w:val="num" w:pos="0"/>
        </w:tabs>
        <w:ind w:left="720" w:hanging="36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lowerLetter"/>
      <w:lvlText w:val="%1"/>
      <w:lvlJc w:val="left"/>
      <w:pPr>
        <w:tabs>
          <w:tab w:val="num" w:pos="0"/>
        </w:tabs>
        <w:ind w:left="720" w:hanging="360"/>
      </w:pPr>
      <w:rPr>
        <w:bCs/>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99"/>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cs-CZ" w:eastAsia="cs-CZ" w:bidi="ar-SA"/>
      </w:rPr>
    </w:rPrDefault>
    <w:pPrDefault>
      <w:pPr>
        <w:suppressAutoHyphens w:val="true"/>
      </w:pPr>
    </w:pPrDefault>
  </w:docDefaults>
  <w:style w:type="paragraph" w:styleId="Normal">
    <w:name w:val="Normal"/>
    <w:qFormat/>
    <w:pPr>
      <w:widowControl/>
      <w:suppressAutoHyphens w:val="true"/>
      <w:kinsoku w:val="true"/>
      <w:overflowPunct w:val="true"/>
      <w:autoSpaceDE w:val="true"/>
      <w:bidi w:val="0"/>
      <w:spacing w:before="0" w:after="0"/>
      <w:jc w:val="both"/>
    </w:pPr>
    <w:rPr>
      <w:rFonts w:ascii="Arial" w:hAnsi="Arial" w:eastAsia="Times New Roman" w:cs="Times New Roman"/>
      <w:color w:val="auto"/>
      <w:kern w:val="0"/>
      <w:sz w:val="22"/>
      <w:szCs w:val="24"/>
      <w:lang w:val="cs-CZ" w:eastAsia="cs-CZ" w:bidi="ar-SA"/>
    </w:rPr>
  </w:style>
  <w:style w:type="paragraph" w:styleId="Nadpis1">
    <w:name w:val="Heading 1"/>
    <w:basedOn w:val="Normal"/>
    <w:next w:val="Normal"/>
    <w:qFormat/>
    <w:pPr>
      <w:keepNext w:val="true"/>
      <w:numPr>
        <w:ilvl w:val="0"/>
        <w:numId w:val="1"/>
      </w:numPr>
      <w:spacing w:before="360" w:after="240"/>
      <w:outlineLvl w:val="0"/>
    </w:pPr>
    <w:rPr>
      <w:rFonts w:cs="Arial"/>
      <w:b/>
      <w:bCs/>
      <w:sz w:val="24"/>
      <w:szCs w:val="32"/>
    </w:rPr>
  </w:style>
  <w:style w:type="paragraph" w:styleId="Nadpis2">
    <w:name w:val="Heading 2"/>
    <w:basedOn w:val="Normal"/>
    <w:next w:val="Normal"/>
    <w:qFormat/>
    <w:pPr>
      <w:keepNext w:val="true"/>
      <w:numPr>
        <w:ilvl w:val="1"/>
        <w:numId w:val="1"/>
      </w:numPr>
      <w:spacing w:before="360" w:after="240"/>
      <w:outlineLvl w:val="1"/>
    </w:pPr>
    <w:rPr>
      <w:rFonts w:cs="Arial"/>
      <w:bCs/>
      <w:i/>
      <w:iCs/>
      <w:szCs w:val="28"/>
      <w:u w:val="single"/>
    </w:rPr>
  </w:style>
  <w:style w:type="paragraph" w:styleId="Nadpis3">
    <w:name w:val="Heading 3"/>
    <w:basedOn w:val="Normal"/>
    <w:next w:val="Normal"/>
    <w:qFormat/>
    <w:pPr>
      <w:keepNext w:val="true"/>
      <w:numPr>
        <w:ilvl w:val="2"/>
        <w:numId w:val="1"/>
      </w:numPr>
      <w:spacing w:before="240" w:after="120"/>
      <w:outlineLvl w:val="2"/>
    </w:pPr>
    <w:rPr>
      <w:rFonts w:cs="Arial"/>
      <w:b/>
      <w:bCs/>
      <w:szCs w:val="26"/>
    </w:rPr>
  </w:style>
  <w:style w:type="paragraph" w:styleId="Nadpis4">
    <w:name w:val="Heading 4"/>
    <w:basedOn w:val="Normal"/>
    <w:next w:val="Normal"/>
    <w:qFormat/>
    <w:pPr>
      <w:keepNext w:val="true"/>
      <w:numPr>
        <w:ilvl w:val="3"/>
        <w:numId w:val="1"/>
      </w:numPr>
      <w:spacing w:before="240" w:after="120"/>
      <w:outlineLvl w:val="3"/>
    </w:pPr>
    <w:rPr>
      <w:rFonts w:cs="Arial"/>
      <w:b/>
    </w:rPr>
  </w:style>
  <w:style w:type="paragraph" w:styleId="Nadpis5">
    <w:name w:val="Heading 5"/>
    <w:basedOn w:val="Normal"/>
    <w:next w:val="Normal"/>
    <w:qFormat/>
    <w:pPr>
      <w:keepNext w:val="true"/>
      <w:numPr>
        <w:ilvl w:val="4"/>
        <w:numId w:val="1"/>
      </w:numPr>
      <w:spacing w:before="240" w:after="120"/>
      <w:outlineLvl w:val="4"/>
    </w:pPr>
    <w:rPr>
      <w:rFonts w:cs="Arial"/>
      <w:b/>
      <w:bCs/>
    </w:rPr>
  </w:style>
  <w:style w:type="paragraph" w:styleId="Nadpis6">
    <w:name w:val="Heading 6"/>
    <w:basedOn w:val="Normal"/>
    <w:next w:val="Normal"/>
    <w:qFormat/>
    <w:pPr>
      <w:keepNext w:val="true"/>
      <w:numPr>
        <w:ilvl w:val="5"/>
        <w:numId w:val="1"/>
      </w:numPr>
      <w:jc w:val="center"/>
      <w:outlineLvl w:val="5"/>
    </w:pPr>
    <w:rPr>
      <w:sz w:val="36"/>
    </w:rPr>
  </w:style>
  <w:style w:type="paragraph" w:styleId="Nadpis7">
    <w:name w:val="Heading 7"/>
    <w:basedOn w:val="Normal"/>
    <w:next w:val="Normal"/>
    <w:qFormat/>
    <w:pPr>
      <w:keepNext w:val="true"/>
      <w:numPr>
        <w:ilvl w:val="6"/>
        <w:numId w:val="1"/>
      </w:numPr>
      <w:jc w:val="center"/>
      <w:outlineLvl w:val="6"/>
    </w:pPr>
    <w:rPr>
      <w:rFonts w:cs="Arial"/>
      <w:b/>
      <w:bCs/>
      <w:sz w:val="36"/>
    </w:rPr>
  </w:style>
  <w:style w:type="paragraph" w:styleId="Nadpis8">
    <w:name w:val="Heading 8"/>
    <w:basedOn w:val="Normal"/>
    <w:next w:val="Normal"/>
    <w:qFormat/>
    <w:pPr>
      <w:numPr>
        <w:ilvl w:val="7"/>
        <w:numId w:val="1"/>
      </w:numPr>
      <w:spacing w:before="240" w:after="60"/>
      <w:outlineLvl w:val="7"/>
    </w:pPr>
    <w:rPr>
      <w:rFonts w:ascii="Arial (WE)" w:hAnsi="Arial (WE)"/>
      <w:i/>
      <w:kern w:val="2"/>
      <w:sz w:val="20"/>
      <w:szCs w:val="20"/>
    </w:rPr>
  </w:style>
  <w:style w:type="paragraph" w:styleId="Nadpis9">
    <w:name w:val="Heading 9"/>
    <w:basedOn w:val="Normal"/>
    <w:next w:val="Normal"/>
    <w:qFormat/>
    <w:pPr>
      <w:numPr>
        <w:ilvl w:val="8"/>
        <w:numId w:val="1"/>
      </w:numPr>
      <w:spacing w:before="240" w:after="60"/>
      <w:outlineLvl w:val="8"/>
    </w:pPr>
    <w:rPr>
      <w:rFonts w:ascii="Arial (WE)" w:hAnsi="Arial (WE)"/>
      <w:i/>
      <w:kern w:val="2"/>
      <w:sz w:val="18"/>
      <w:szCs w:val="20"/>
    </w:rPr>
  </w:style>
  <w:style w:type="character" w:styleId="DefaultParagraphFont">
    <w:name w:val="Default Paragraph Font"/>
    <w:qFormat/>
    <w:rPr/>
  </w:style>
  <w:style w:type="character" w:styleId="Nadpis1Char">
    <w:name w:val="Nadpis 1 Char"/>
    <w:basedOn w:val="DefaultParagraphFont"/>
    <w:qFormat/>
    <w:rPr>
      <w:rFonts w:ascii="Arial" w:hAnsi="Arial" w:eastAsia="Times New Roman" w:cs="Arial"/>
      <w:b/>
      <w:bCs/>
      <w:sz w:val="24"/>
      <w:szCs w:val="32"/>
    </w:rPr>
  </w:style>
  <w:style w:type="character" w:styleId="Nadpis2Char">
    <w:name w:val="Nadpis 2 Char"/>
    <w:basedOn w:val="DefaultParagraphFont"/>
    <w:qFormat/>
    <w:rPr>
      <w:rFonts w:ascii="Arial" w:hAnsi="Arial" w:eastAsia="Times New Roman" w:cs="Arial"/>
      <w:bCs/>
      <w:i/>
      <w:iCs/>
      <w:sz w:val="22"/>
      <w:szCs w:val="28"/>
      <w:u w:val="single"/>
    </w:rPr>
  </w:style>
  <w:style w:type="character" w:styleId="Nadpis3Char">
    <w:name w:val="Nadpis 3 Char"/>
    <w:basedOn w:val="DefaultParagraphFont"/>
    <w:qFormat/>
    <w:rPr>
      <w:rFonts w:ascii="Arial" w:hAnsi="Arial" w:eastAsia="Times New Roman" w:cs="Arial"/>
      <w:b/>
      <w:bCs/>
      <w:sz w:val="22"/>
      <w:szCs w:val="26"/>
    </w:rPr>
  </w:style>
  <w:style w:type="character" w:styleId="Nadpis4Char">
    <w:name w:val="Nadpis 4 Char"/>
    <w:basedOn w:val="DefaultParagraphFont"/>
    <w:qFormat/>
    <w:rPr>
      <w:rFonts w:ascii="Arial" w:hAnsi="Arial" w:eastAsia="Times New Roman" w:cs="Arial"/>
      <w:b/>
      <w:sz w:val="22"/>
      <w:szCs w:val="24"/>
    </w:rPr>
  </w:style>
  <w:style w:type="character" w:styleId="Nadpis5Char">
    <w:name w:val="Nadpis 5 Char"/>
    <w:basedOn w:val="DefaultParagraphFont"/>
    <w:qFormat/>
    <w:rPr>
      <w:rFonts w:ascii="Arial" w:hAnsi="Arial" w:eastAsia="Times New Roman" w:cs="Arial"/>
      <w:b/>
      <w:bCs/>
      <w:sz w:val="22"/>
      <w:szCs w:val="24"/>
    </w:rPr>
  </w:style>
  <w:style w:type="character" w:styleId="Nadpis6Char">
    <w:name w:val="Nadpis 6 Char"/>
    <w:basedOn w:val="DefaultParagraphFont"/>
    <w:qFormat/>
    <w:rPr>
      <w:rFonts w:ascii="Arial" w:hAnsi="Arial" w:eastAsia="Times New Roman" w:cs="Times New Roman"/>
      <w:sz w:val="36"/>
      <w:szCs w:val="24"/>
      <w:lang w:eastAsia="cs-CZ"/>
    </w:rPr>
  </w:style>
  <w:style w:type="character" w:styleId="Nadpis7Char">
    <w:name w:val="Nadpis 7 Char"/>
    <w:basedOn w:val="DefaultParagraphFont"/>
    <w:qFormat/>
    <w:rPr>
      <w:rFonts w:ascii="Arial" w:hAnsi="Arial" w:eastAsia="Times New Roman" w:cs="Arial"/>
      <w:b/>
      <w:bCs/>
      <w:sz w:val="36"/>
      <w:szCs w:val="24"/>
      <w:lang w:eastAsia="cs-CZ"/>
    </w:rPr>
  </w:style>
  <w:style w:type="character" w:styleId="ZhlavChar">
    <w:name w:val="Záhlaví Char"/>
    <w:basedOn w:val="DefaultParagraphFont"/>
    <w:qFormat/>
    <w:rPr>
      <w:rFonts w:ascii="Arial" w:hAnsi="Arial" w:eastAsia="Times New Roman" w:cs="Times New Roman"/>
      <w:szCs w:val="24"/>
      <w:lang w:eastAsia="cs-CZ"/>
    </w:rPr>
  </w:style>
  <w:style w:type="character" w:styleId="Internetovodkaz">
    <w:name w:val="Internetový odkaz"/>
    <w:basedOn w:val="DefaultParagraphFont"/>
    <w:rPr>
      <w:color w:val="0000FF"/>
      <w:u w:val="single"/>
    </w:rPr>
  </w:style>
  <w:style w:type="character" w:styleId="TextbublinyChar">
    <w:name w:val="Text bubliny Char"/>
    <w:basedOn w:val="DefaultParagraphFont"/>
    <w:qFormat/>
    <w:rPr>
      <w:rFonts w:ascii="Tahoma" w:hAnsi="Tahoma" w:eastAsia="Times New Roman" w:cs="Tahoma"/>
      <w:sz w:val="16"/>
      <w:szCs w:val="16"/>
      <w:lang w:eastAsia="cs-CZ"/>
    </w:rPr>
  </w:style>
  <w:style w:type="character" w:styleId="ZpatChar">
    <w:name w:val="Zápatí Char"/>
    <w:basedOn w:val="DefaultParagraphFont"/>
    <w:qFormat/>
    <w:rPr>
      <w:rFonts w:ascii="Arial" w:hAnsi="Arial" w:eastAsia="Times New Roman" w:cs="Times New Roman"/>
      <w:szCs w:val="24"/>
      <w:lang w:eastAsia="cs-CZ"/>
    </w:rPr>
  </w:style>
  <w:style w:type="character" w:styleId="BookTitle">
    <w:name w:val="Book Title"/>
    <w:basedOn w:val="DefaultParagraphFont"/>
    <w:qFormat/>
    <w:rPr>
      <w:b/>
      <w:bCs/>
      <w:smallCaps/>
      <w:spacing w:val="5"/>
    </w:rPr>
  </w:style>
  <w:style w:type="character" w:styleId="Strong">
    <w:name w:val="Strong"/>
    <w:basedOn w:val="DefaultParagraphFont"/>
    <w:qFormat/>
    <w:rPr>
      <w:b/>
      <w:bCs/>
    </w:rPr>
  </w:style>
  <w:style w:type="character" w:styleId="NzevChar">
    <w:name w:val="Název Char"/>
    <w:basedOn w:val="DefaultParagraphFont"/>
    <w:qFormat/>
    <w:rPr>
      <w:rFonts w:ascii="Cambria" w:hAnsi="Cambria" w:eastAsia="Times New Roman" w:cs="Times New Roman"/>
      <w:b/>
      <w:bCs/>
      <w:kern w:val="2"/>
      <w:sz w:val="32"/>
      <w:szCs w:val="32"/>
    </w:rPr>
  </w:style>
  <w:style w:type="character" w:styleId="SubtleEmphasis">
    <w:name w:val="Subtle Emphasis"/>
    <w:basedOn w:val="DefaultParagraphFont"/>
    <w:qFormat/>
    <w:rPr>
      <w:i/>
      <w:iCs/>
      <w:color w:val="808080"/>
    </w:rPr>
  </w:style>
  <w:style w:type="character" w:styleId="Zvraznn1">
    <w:name w:val="Zvýraznění1"/>
    <w:basedOn w:val="DefaultParagraphFont"/>
    <w:qFormat/>
    <w:rPr>
      <w:rFonts w:ascii="Arial" w:hAnsi="Arial"/>
      <w:b/>
      <w:iCs/>
      <w:sz w:val="22"/>
    </w:rPr>
  </w:style>
  <w:style w:type="character" w:styleId="IntenseReference">
    <w:name w:val="Intense Reference"/>
    <w:basedOn w:val="DefaultParagraphFont"/>
    <w:qFormat/>
    <w:rPr>
      <w:b/>
      <w:bCs/>
      <w:smallCaps/>
      <w:color w:val="C0504D"/>
      <w:spacing w:val="5"/>
      <w:u w:val="single"/>
    </w:rPr>
  </w:style>
  <w:style w:type="character" w:styleId="PodtitulChar">
    <w:name w:val="Podtitul Char"/>
    <w:basedOn w:val="DefaultParagraphFont"/>
    <w:qFormat/>
    <w:rPr>
      <w:rFonts w:ascii="Cambria" w:hAnsi="Cambria" w:eastAsia="Times New Roman" w:cs="Times New Roman"/>
      <w:sz w:val="24"/>
      <w:szCs w:val="24"/>
    </w:rPr>
  </w:style>
  <w:style w:type="character" w:styleId="Nadpis8Char">
    <w:name w:val="Nadpis 8 Char"/>
    <w:basedOn w:val="DefaultParagraphFont"/>
    <w:qFormat/>
    <w:rPr>
      <w:rFonts w:ascii="Arial (WE)" w:hAnsi="Arial (WE)" w:eastAsia="Times New Roman"/>
      <w:i/>
      <w:kern w:val="2"/>
    </w:rPr>
  </w:style>
  <w:style w:type="character" w:styleId="Nadpis9Char">
    <w:name w:val="Nadpis 9 Char"/>
    <w:basedOn w:val="DefaultParagraphFont"/>
    <w:qFormat/>
    <w:rPr>
      <w:rFonts w:ascii="Arial (WE)" w:hAnsi="Arial (WE)" w:eastAsia="Times New Roman"/>
      <w:i/>
      <w:kern w:val="2"/>
      <w:sz w:val="18"/>
    </w:rPr>
  </w:style>
  <w:style w:type="character" w:styleId="Odkaznarejstk">
    <w:name w:val="Odkaz na rejstřík"/>
    <w:qFormat/>
    <w:rPr/>
  </w:style>
  <w:style w:type="character" w:styleId="WW8Num5z0">
    <w:name w:val="WW8Num5z0"/>
    <w:qFormat/>
    <w:rPr>
      <w:rFonts w:ascii="Times New Roman" w:hAnsi="Times New Roman" w:cs="Times New Roman"/>
      <w:iCs/>
      <w:sz w:val="24"/>
      <w:szCs w:val="24"/>
    </w:rPr>
  </w:style>
  <w:style w:type="character" w:styleId="WW8Num8z0">
    <w:name w:val="WW8Num8z0"/>
    <w:qFormat/>
    <w:rPr>
      <w:rFonts w:ascii="Symbol" w:hAnsi="Symbol" w:cs="Symbol"/>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2z0">
    <w:name w:val="WW8Num2z0"/>
    <w:qFormat/>
    <w:rPr>
      <w:rFonts w:ascii="Times New Roman" w:hAnsi="Times New Roman" w:cs="Times New Roman"/>
      <w:iCs/>
      <w:sz w:val="24"/>
    </w:rPr>
  </w:style>
  <w:style w:type="character" w:styleId="WW8Num4z0">
    <w:name w:val="WW8Num4z0"/>
    <w:qFormat/>
    <w:rPr>
      <w:rFonts w:ascii="Liberation Serif;Times New Roman" w:hAnsi="Liberation Serif;Times New Roman" w:cs="Times New Roman"/>
      <w:sz w:val="24"/>
    </w:rPr>
  </w:style>
  <w:style w:type="character" w:styleId="WW8Num6z0">
    <w:name w:val="WW8Num6z0"/>
    <w:qFormat/>
    <w:rPr>
      <w:rFonts w:ascii="Arial" w:hAnsi="Arial" w:cs="Arial"/>
    </w:rPr>
  </w:style>
  <w:style w:type="character" w:styleId="WW8Num3z0">
    <w:name w:val="WW8Num3z0"/>
    <w:qFormat/>
    <w:rPr>
      <w:rFonts w:ascii="Times New Roman" w:hAnsi="Times New Roman" w:cs="Times New Roman"/>
      <w:bCs/>
    </w:rPr>
  </w:style>
  <w:style w:type="paragraph" w:styleId="Nadpis">
    <w:name w:val="Nadpis"/>
    <w:basedOn w:val="Normal"/>
    <w:next w:val="Tlotextu"/>
    <w:qFormat/>
    <w:pPr>
      <w:keepNext w:val="true"/>
      <w:spacing w:before="240" w:after="120"/>
    </w:pPr>
    <w:rPr>
      <w:rFonts w:ascii="Liberation Sans" w:hAnsi="Liberation Sans" w:eastAsia="Microsoft YaHei" w:cs="Arial"/>
      <w:sz w:val="28"/>
      <w:szCs w:val="28"/>
    </w:rPr>
  </w:style>
  <w:style w:type="paragraph" w:styleId="Tlotextu">
    <w:name w:val="Body Text"/>
    <w:basedOn w:val="Normal"/>
    <w:pPr>
      <w:spacing w:lineRule="auto" w:line="276" w:before="0" w:after="140"/>
    </w:pPr>
    <w:rPr/>
  </w:style>
  <w:style w:type="paragraph" w:styleId="Seznam">
    <w:name w:val="List"/>
    <w:basedOn w:val="Tlotextu"/>
    <w:pPr/>
    <w:rPr>
      <w:rFonts w:cs="Arial"/>
    </w:rPr>
  </w:style>
  <w:style w:type="paragraph" w:styleId="Popisek">
    <w:name w:val="Caption"/>
    <w:basedOn w:val="Normal"/>
    <w:qFormat/>
    <w:pPr>
      <w:suppressLineNumbers/>
      <w:spacing w:before="120" w:after="120"/>
    </w:pPr>
    <w:rPr>
      <w:rFonts w:cs="Arial"/>
      <w:i/>
      <w:iCs/>
      <w:sz w:val="24"/>
      <w:szCs w:val="24"/>
    </w:rPr>
  </w:style>
  <w:style w:type="paragraph" w:styleId="Rejstk">
    <w:name w:val="Rejstřík"/>
    <w:basedOn w:val="Normal"/>
    <w:qFormat/>
    <w:pPr>
      <w:suppressLineNumbers/>
    </w:pPr>
    <w:rPr>
      <w:rFonts w:cs="Arial"/>
    </w:rPr>
  </w:style>
  <w:style w:type="paragraph" w:styleId="Zhlavazpat">
    <w:name w:val="Záhlaví a zápatí"/>
    <w:basedOn w:val="Normal"/>
    <w:qFormat/>
    <w:pPr/>
    <w:rPr/>
  </w:style>
  <w:style w:type="paragraph" w:styleId="Zhlav">
    <w:name w:val="Header"/>
    <w:basedOn w:val="Normal"/>
    <w:pPr>
      <w:tabs>
        <w:tab w:val="clear" w:pos="708"/>
        <w:tab w:val="center" w:pos="4536" w:leader="none"/>
        <w:tab w:val="right" w:pos="9072" w:leader="none"/>
      </w:tabs>
    </w:pPr>
    <w:rPr/>
  </w:style>
  <w:style w:type="paragraph" w:styleId="BalloonText">
    <w:name w:val="Balloon Text"/>
    <w:basedOn w:val="Normal"/>
    <w:qFormat/>
    <w:pPr/>
    <w:rPr>
      <w:rFonts w:ascii="Tahoma" w:hAnsi="Tahoma" w:cs="Tahoma"/>
      <w:sz w:val="16"/>
      <w:szCs w:val="16"/>
    </w:rPr>
  </w:style>
  <w:style w:type="paragraph" w:styleId="Obsah1">
    <w:name w:val="TOC 1"/>
    <w:basedOn w:val="Normal"/>
    <w:next w:val="Normal"/>
    <w:autoRedefine/>
    <w:pPr>
      <w:widowControl/>
      <w:tabs>
        <w:tab w:val="clear" w:pos="708"/>
        <w:tab w:val="left" w:pos="540" w:leader="none"/>
        <w:tab w:val="left" w:pos="9076" w:leader="none"/>
      </w:tabs>
      <w:bidi w:val="0"/>
      <w:spacing w:before="0" w:after="0"/>
      <w:ind w:left="283" w:right="964" w:hanging="283"/>
      <w:jc w:val="both"/>
    </w:pPr>
    <w:rPr/>
  </w:style>
  <w:style w:type="paragraph" w:styleId="Obsah2">
    <w:name w:val="TOC 2"/>
    <w:basedOn w:val="Normal"/>
    <w:next w:val="Normal"/>
    <w:autoRedefine/>
    <w:pPr>
      <w:spacing w:before="0" w:after="100"/>
      <w:ind w:left="220" w:right="0" w:hanging="0"/>
    </w:pPr>
    <w:rPr/>
  </w:style>
  <w:style w:type="paragraph" w:styleId="Obsah3">
    <w:name w:val="TOC 3"/>
    <w:basedOn w:val="Normal"/>
    <w:next w:val="Normal"/>
    <w:autoRedefine/>
    <w:pPr>
      <w:spacing w:before="0" w:after="100"/>
      <w:ind w:left="440" w:right="0" w:hanging="0"/>
    </w:pPr>
    <w:rPr/>
  </w:style>
  <w:style w:type="paragraph" w:styleId="Zpat">
    <w:name w:val="Footer"/>
    <w:basedOn w:val="Normal"/>
    <w:pPr>
      <w:tabs>
        <w:tab w:val="clear" w:pos="708"/>
        <w:tab w:val="center" w:pos="4536" w:leader="none"/>
        <w:tab w:val="right" w:pos="9072" w:leader="none"/>
      </w:tabs>
    </w:pPr>
    <w:rPr/>
  </w:style>
  <w:style w:type="paragraph" w:styleId="ListParagraph">
    <w:name w:val="List Paragraph"/>
    <w:basedOn w:val="Normal"/>
    <w:qFormat/>
    <w:pPr>
      <w:ind w:left="709" w:right="0" w:hanging="0"/>
    </w:pPr>
    <w:rPr/>
  </w:style>
  <w:style w:type="paragraph" w:styleId="NoSpacing">
    <w:name w:val="No Spacing"/>
    <w:qFormat/>
    <w:pPr>
      <w:widowControl/>
      <w:suppressAutoHyphens w:val="true"/>
      <w:kinsoku w:val="true"/>
      <w:overflowPunct w:val="true"/>
      <w:autoSpaceDE w:val="true"/>
      <w:bidi w:val="0"/>
      <w:spacing w:before="0" w:after="0"/>
      <w:jc w:val="both"/>
    </w:pPr>
    <w:rPr>
      <w:rFonts w:ascii="Arial" w:hAnsi="Arial" w:eastAsia="Times New Roman" w:cs="Times New Roman"/>
      <w:color w:val="auto"/>
      <w:kern w:val="0"/>
      <w:sz w:val="22"/>
      <w:szCs w:val="24"/>
      <w:lang w:val="cs-CZ" w:eastAsia="cs-CZ" w:bidi="ar-SA"/>
    </w:rPr>
  </w:style>
  <w:style w:type="paragraph" w:styleId="Nzev">
    <w:name w:val="Title"/>
    <w:basedOn w:val="Normal"/>
    <w:next w:val="Normal"/>
    <w:qFormat/>
    <w:pPr>
      <w:numPr>
        <w:ilvl w:val="0"/>
        <w:numId w:val="0"/>
      </w:numPr>
      <w:spacing w:before="240" w:after="60"/>
      <w:jc w:val="center"/>
      <w:outlineLvl w:val="0"/>
    </w:pPr>
    <w:rPr>
      <w:rFonts w:ascii="Cambria" w:hAnsi="Cambria"/>
      <w:b/>
      <w:bCs/>
      <w:kern w:val="2"/>
      <w:sz w:val="32"/>
      <w:szCs w:val="32"/>
    </w:rPr>
  </w:style>
  <w:style w:type="paragraph" w:styleId="Podtitul">
    <w:name w:val="Subtitle"/>
    <w:basedOn w:val="Normal"/>
    <w:next w:val="Normal"/>
    <w:qFormat/>
    <w:pPr>
      <w:numPr>
        <w:ilvl w:val="0"/>
        <w:numId w:val="0"/>
      </w:numPr>
      <w:spacing w:before="0" w:after="60"/>
      <w:jc w:val="center"/>
      <w:outlineLvl w:val="1"/>
    </w:pPr>
    <w:rPr>
      <w:rFonts w:ascii="Cambria" w:hAnsi="Cambria"/>
      <w:sz w:val="24"/>
    </w:rPr>
  </w:style>
  <w:style w:type="paragraph" w:styleId="Odstavec">
    <w:name w:val="Odstavec"/>
    <w:basedOn w:val="Normal"/>
    <w:next w:val="Normal"/>
    <w:qFormat/>
    <w:pPr>
      <w:ind w:left="709" w:right="0" w:hanging="0"/>
    </w:pPr>
    <w:rPr/>
  </w:style>
  <w:style w:type="paragraph" w:styleId="TOCHeading">
    <w:name w:val="TOC Heading"/>
    <w:basedOn w:val="Nadpis1"/>
    <w:next w:val="Normal"/>
    <w:qFormat/>
    <w:pPr>
      <w:keepLines/>
      <w:numPr>
        <w:ilvl w:val="0"/>
        <w:numId w:val="0"/>
      </w:numPr>
      <w:spacing w:lineRule="auto" w:line="276" w:before="480" w:after="0"/>
      <w:jc w:val="left"/>
    </w:pPr>
    <w:rPr>
      <w:rFonts w:ascii="Cambria" w:hAnsi="Cambria" w:cs="Times New Roman"/>
      <w:color w:val="365F91"/>
      <w:sz w:val="28"/>
      <w:szCs w:val="28"/>
      <w:lang w:eastAsia="en-US"/>
    </w:rPr>
  </w:style>
  <w:style w:type="paragraph" w:styleId="Dka">
    <w:name w:val="Řádka"/>
    <w:qFormat/>
    <w:pPr>
      <w:widowControl w:val="false"/>
      <w:suppressAutoHyphens w:val="true"/>
      <w:kinsoku w:val="true"/>
      <w:overflowPunct w:val="true"/>
      <w:autoSpaceDE w:val="true"/>
      <w:bidi w:val="0"/>
      <w:spacing w:before="0" w:after="0"/>
      <w:jc w:val="both"/>
    </w:pPr>
    <w:rPr>
      <w:rFonts w:ascii="Times New Roman" w:hAnsi="Times New Roman" w:eastAsia="Times New Roman" w:cs="Times New Roman"/>
      <w:color w:val="000000"/>
      <w:kern w:val="0"/>
      <w:sz w:val="24"/>
      <w:szCs w:val="24"/>
      <w:lang w:val="cs-CZ" w:eastAsia="cs-CZ" w:bidi="ar-SA"/>
    </w:rPr>
  </w:style>
  <w:style w:type="paragraph" w:styleId="Caption">
    <w:name w:val="caption"/>
    <w:basedOn w:val="Normal"/>
    <w:next w:val="Normal"/>
    <w:qFormat/>
    <w:pPr>
      <w:spacing w:before="0" w:after="200"/>
    </w:pPr>
    <w:rPr>
      <w:i/>
      <w:iCs/>
      <w:color w:val="44546A"/>
      <w:sz w:val="18"/>
      <w:szCs w:val="18"/>
    </w:rPr>
  </w:style>
  <w:style w:type="paragraph" w:styleId="FormtovanvHTML">
    <w:name w:val="Formátovaný v HTML"/>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Arial Unicode MS;Arial" w:hAnsi="Arial Unicode MS;Arial" w:eastAsia="Arial Unicode MS;Arial" w:cs="Arial Unicode MS;Arial"/>
      <w:sz w:val="20"/>
      <w:szCs w:val="20"/>
    </w:rPr>
  </w:style>
  <w:style w:type="paragraph" w:styleId="Nadpiszkladn">
    <w:name w:val="Nadpis základní"/>
    <w:basedOn w:val="Tlotextu"/>
    <w:next w:val="Tlotextu"/>
    <w:qFormat/>
    <w:pPr>
      <w:keepNext w:val="true"/>
      <w:keepLines/>
      <w:tabs>
        <w:tab w:val="clear" w:pos="708"/>
        <w:tab w:val="left" w:pos="284" w:leader="none"/>
        <w:tab w:val="left" w:pos="567" w:leader="none"/>
        <w:tab w:val="left" w:pos="1134" w:leader="none"/>
        <w:tab w:val="left" w:pos="1701" w:leader="none"/>
        <w:tab w:val="left" w:pos="2268" w:leader="none"/>
        <w:tab w:val="left" w:pos="2835" w:leader="none"/>
        <w:tab w:val="left" w:pos="3402" w:leader="none"/>
        <w:tab w:val="left" w:pos="3969" w:leader="none"/>
        <w:tab w:val="left" w:pos="4536" w:leader="none"/>
        <w:tab w:val="left" w:pos="5103" w:leader="none"/>
        <w:tab w:val="left" w:pos="5670" w:leader="none"/>
        <w:tab w:val="left" w:pos="6237" w:leader="none"/>
        <w:tab w:val="left" w:pos="6804" w:leader="none"/>
        <w:tab w:val="left" w:pos="7371" w:leader="none"/>
      </w:tabs>
      <w:spacing w:before="0" w:after="0"/>
      <w:jc w:val="both"/>
    </w:pPr>
    <w:rPr>
      <w:rFonts w:ascii="Arial" w:hAnsi="Arial" w:cs="Arial"/>
      <w:spacing w:val="-10"/>
      <w:kern w:val="2"/>
      <w:sz w:val="24"/>
    </w:rPr>
  </w:style>
  <w:style w:type="paragraph" w:styleId="Zkladntext31">
    <w:name w:val="Základní text 31"/>
    <w:basedOn w:val="Normal"/>
    <w:qFormat/>
    <w:pPr>
      <w:overflowPunct w:val="true"/>
      <w:spacing w:lineRule="atLeast" w:line="240" w:before="120" w:after="0"/>
      <w:textAlignment w:val="baseline"/>
    </w:pPr>
    <w:rPr>
      <w:rFonts w:ascii="Times New Roman" w:hAnsi="Times New Roman" w:cs="Times New Roman"/>
      <w:sz w:val="24"/>
      <w:szCs w:val="20"/>
    </w:rPr>
  </w:style>
  <w:style w:type="paragraph" w:styleId="Zkladntext3">
    <w:name w:val="Základní text 3"/>
    <w:basedOn w:val="Normal"/>
    <w:qFormat/>
    <w:pPr>
      <w:overflowPunct w:val="true"/>
      <w:spacing w:lineRule="atLeast" w:line="240" w:before="120" w:after="0"/>
      <w:textAlignment w:val="baseline"/>
    </w:pPr>
    <w:rPr>
      <w:rFonts w:ascii="Times New Roman" w:hAnsi="Times New Roman" w:cs="Times New Roman"/>
      <w:sz w:val="24"/>
      <w:szCs w:val="20"/>
    </w:rPr>
  </w:style>
  <w:style w:type="paragraph" w:styleId="Zkladntext21">
    <w:name w:val="Základní text 21"/>
    <w:basedOn w:val="Normal"/>
    <w:qFormat/>
    <w:pPr>
      <w:overflowPunct w:val="true"/>
      <w:spacing w:lineRule="atLeast" w:line="240" w:before="120" w:after="0"/>
      <w:jc w:val="both"/>
      <w:textAlignment w:val="baseline"/>
    </w:pPr>
    <w:rPr>
      <w:rFonts w:ascii="Times New Roman" w:hAnsi="Times New Roman" w:cs="Times New Roman"/>
      <w:sz w:val="24"/>
      <w:szCs w:val="20"/>
    </w:rPr>
  </w:style>
  <w:style w:type="paragraph" w:styleId="BodyText2">
    <w:name w:val="Body Text 2"/>
    <w:basedOn w:val="Normal"/>
    <w:qFormat/>
    <w:pPr>
      <w:overflowPunct w:val="true"/>
      <w:spacing w:lineRule="atLeast" w:line="240" w:before="120" w:after="0"/>
      <w:jc w:val="both"/>
      <w:textAlignment w:val="baseline"/>
    </w:pPr>
    <w:rPr>
      <w:rFonts w:ascii="Times New Roman" w:hAnsi="Times New Roman" w:cs="Times New Roman"/>
      <w:sz w:val="24"/>
      <w:szCs w:val="20"/>
    </w:rPr>
  </w:style>
  <w:style w:type="paragraph" w:styleId="TextOdst">
    <w:name w:val="TextOdst"/>
    <w:basedOn w:val="Normal"/>
    <w:qFormat/>
    <w:pPr>
      <w:spacing w:before="0" w:after="120"/>
      <w:ind w:left="0" w:right="0" w:firstLine="397"/>
    </w:pPr>
    <w:rPr>
      <w:rFonts w:ascii="Times New Roman" w:hAnsi="Times New Roman" w:cs="Times New Roman"/>
      <w:sz w:val="20"/>
      <w:szCs w:val="20"/>
      <w:lang w:val="cs-CZ" w:eastAsia="cs-CZ"/>
    </w:rPr>
  </w:style>
  <w:style w:type="paragraph" w:styleId="Zkladntextodsazen21">
    <w:name w:val="Základní text odsazený 21"/>
    <w:basedOn w:val="Normal"/>
    <w:qFormat/>
    <w:pPr>
      <w:overflowPunct w:val="true"/>
      <w:spacing w:lineRule="atLeast" w:line="240" w:before="120" w:after="0"/>
      <w:ind w:left="0" w:right="0" w:firstLine="567"/>
      <w:jc w:val="both"/>
      <w:textAlignment w:val="baseline"/>
    </w:pPr>
    <w:rPr>
      <w:rFonts w:ascii="Times New Roman" w:hAnsi="Times New Roman" w:cs="Times New Roman"/>
      <w:sz w:val="24"/>
      <w:szCs w:val="20"/>
    </w:rPr>
  </w:style>
  <w:style w:type="paragraph" w:styleId="Prosttext1">
    <w:name w:val="Prostý text1"/>
    <w:basedOn w:val="Normal"/>
    <w:qFormat/>
    <w:pPr/>
    <w:rPr>
      <w:rFonts w:ascii="Times New Roman" w:hAnsi="Times New Roman" w:cs="Times New Roman"/>
      <w:color w:val="FF0000"/>
      <w:sz w:val="24"/>
      <w:szCs w:val="20"/>
    </w:rPr>
  </w:style>
  <w:style w:type="paragraph" w:styleId="Podnadpis">
    <w:name w:val="Podnadpis"/>
    <w:next w:val="Normal"/>
    <w:qFormat/>
    <w:pPr>
      <w:keepNext w:val="true"/>
      <w:keepLines/>
      <w:widowControl/>
      <w:suppressAutoHyphens w:val="true"/>
      <w:kinsoku w:val="true"/>
      <w:overflowPunct w:val="true"/>
      <w:autoSpaceDE w:val="true"/>
      <w:bidi w:val="0"/>
      <w:spacing w:before="226" w:after="170"/>
      <w:jc w:val="left"/>
    </w:pPr>
    <w:rPr>
      <w:rFonts w:ascii="Arial" w:hAnsi="Arial" w:eastAsia="Times New Roman" w:cs="Arial"/>
      <w:b/>
      <w:color w:val="000000"/>
      <w:kern w:val="0"/>
      <w:sz w:val="24"/>
      <w:szCs w:val="20"/>
      <w:lang w:val="cs-CZ" w:eastAsia="zh-CN" w:bidi="ar-SA"/>
    </w:rPr>
  </w:style>
  <w:style w:type="paragraph" w:styleId="Zkladntextodsazen3">
    <w:name w:val="Základní text odsazený 3"/>
    <w:basedOn w:val="Normal"/>
    <w:qFormat/>
    <w:pPr>
      <w:spacing w:lineRule="atLeast" w:line="240"/>
      <w:ind w:left="0" w:right="0" w:firstLine="567"/>
    </w:pPr>
    <w:rPr>
      <w:rFonts w:ascii="Times New Roman" w:hAnsi="Times New Roman" w:cs="Times New Roman"/>
    </w:rPr>
  </w:style>
  <w:style w:type="paragraph" w:styleId="Obsahtabulky">
    <w:name w:val="Obsah tabulky"/>
    <w:basedOn w:val="Normal"/>
    <w:qFormat/>
    <w:pPr>
      <w:widowControl w:val="false"/>
      <w:suppressLineNumbers/>
    </w:pPr>
    <w:rPr/>
  </w:style>
  <w:style w:type="numbering" w:styleId="NoList">
    <w:name w:val="No List"/>
    <w:qFormat/>
  </w:style>
  <w:style w:type="numbering" w:styleId="WW8Num5">
    <w:name w:val="WW8Num5"/>
    <w:qFormat/>
  </w:style>
  <w:style w:type="numbering" w:styleId="WW8Num8">
    <w:name w:val="WW8Num8"/>
    <w:qFormat/>
  </w:style>
  <w:style w:type="numbering" w:styleId="WW8Num2">
    <w:name w:val="WW8Num2"/>
    <w:qFormat/>
  </w:style>
  <w:style w:type="numbering" w:styleId="WW8Num4">
    <w:name w:val="WW8Num4"/>
    <w:qFormat/>
  </w:style>
  <w:style w:type="numbering" w:styleId="WW8Num6">
    <w:name w:val="WW8Num6"/>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docProps/app.xml><?xml version="1.0" encoding="utf-8"?>
<Properties xmlns="http://schemas.openxmlformats.org/officeDocument/2006/extended-properties" xmlns:vt="http://schemas.openxmlformats.org/officeDocument/2006/docPropsVTypes">
  <Template>Technická zpráva</Template>
  <TotalTime>30</TotalTime>
  <Application>LibreOffice/7.0.1.2$Windows_X86_64 LibreOffice_project/7cbcfc562f6eb6708b5ff7d7397325de9e764452</Application>
  <Pages>13</Pages>
  <Words>4651</Words>
  <Characters>28076</Characters>
  <CharactersWithSpaces>32724</CharactersWithSpaces>
  <Paragraphs>325</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2020-08-04T05:12:00Z</dcterms:created>
  <dc:creator>Adamik</dc:creator>
  <dc:description/>
  <dc:language>cs-CZ</dc:language>
  <cp:lastModifiedBy/>
  <cp:lastPrinted>2020-08-03T13:22:00Z</cp:lastPrinted>
  <dcterms:modified xsi:type="dcterms:W3CDTF">2020-10-20T13:43:02Z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